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DA417" w14:textId="77777777" w:rsidR="009A0FF6" w:rsidRDefault="009A0FF6" w:rsidP="00150FE5">
      <w:pPr>
        <w:ind w:left="2292" w:hanging="2292"/>
      </w:pPr>
      <w:bookmarkStart w:id="0" w:name="_Toc209500354"/>
      <w:bookmarkStart w:id="1" w:name="_Toc219275270"/>
      <w:bookmarkStart w:id="2" w:name="_Toc219275340"/>
      <w:bookmarkStart w:id="3" w:name="_Toc219518985"/>
    </w:p>
    <w:p w14:paraId="75FDA418" w14:textId="77777777" w:rsidR="008720EB" w:rsidRPr="00974C35" w:rsidRDefault="008720EB" w:rsidP="00150FE5">
      <w:pPr>
        <w:ind w:left="2292" w:hanging="2292"/>
        <w:rPr>
          <w:lang w:val="en-US"/>
        </w:rPr>
      </w:pPr>
      <w:r w:rsidRPr="00974C35">
        <w:rPr>
          <w:lang w:val="en-US"/>
        </w:rPr>
        <w:t xml:space="preserve">SCORECARD </w:t>
      </w:r>
      <w:r w:rsidR="00CC24B5" w:rsidRPr="00974C35">
        <w:rPr>
          <w:lang w:val="en-US"/>
        </w:rPr>
        <w:tab/>
        <w:t>International Trade Centre (ITC)</w:t>
      </w:r>
    </w:p>
    <w:p w14:paraId="75FDA419" w14:textId="77777777" w:rsidR="008720EB" w:rsidRPr="00974C35" w:rsidRDefault="008720EB" w:rsidP="00150FE5">
      <w:pPr>
        <w:ind w:left="2292" w:hanging="2292"/>
        <w:rPr>
          <w:lang w:val="en-US"/>
        </w:rPr>
      </w:pPr>
    </w:p>
    <w:p w14:paraId="75FDA41A" w14:textId="70BE6CE2" w:rsidR="009B57FB" w:rsidRDefault="008414DD" w:rsidP="00150FE5">
      <w:pPr>
        <w:ind w:left="2292" w:hanging="2292"/>
      </w:pPr>
      <w:fldSimple w:instr=" DOCPROPERTY  L_CONTACT  \* MERGEFORMAT ">
        <w:r w:rsidR="00BA3472">
          <w:t>Opgesteld door</w:t>
        </w:r>
      </w:fldSimple>
      <w:r w:rsidR="00712F9E">
        <w:t>:</w:t>
      </w:r>
      <w:r w:rsidR="002F6CE5" w:rsidRPr="00785F18">
        <w:tab/>
      </w:r>
      <w:r w:rsidR="003A65E8">
        <w:t xml:space="preserve">Directie </w:t>
      </w:r>
      <w:r w:rsidR="00974C35">
        <w:t>Duurzame Economische Ontwikkeling</w:t>
      </w:r>
    </w:p>
    <w:p w14:paraId="75FDA41B" w14:textId="3C2A039C" w:rsidR="002F6CE5" w:rsidRPr="00785F18" w:rsidRDefault="002F6CE5" w:rsidP="00150FE5">
      <w:pPr>
        <w:ind w:left="2292" w:hanging="2292"/>
      </w:pPr>
      <w:r w:rsidRPr="00785F18">
        <w:br/>
      </w:r>
    </w:p>
    <w:tbl>
      <w:tblPr>
        <w:tblW w:w="0" w:type="auto"/>
        <w:tblLook w:val="01E0" w:firstRow="1" w:lastRow="1" w:firstColumn="1" w:lastColumn="1" w:noHBand="0" w:noVBand="0"/>
      </w:tblPr>
      <w:tblGrid>
        <w:gridCol w:w="2246"/>
        <w:gridCol w:w="5480"/>
      </w:tblGrid>
      <w:tr w:rsidR="002F6CE5" w:rsidRPr="00785F18" w14:paraId="75FDA420" w14:textId="77777777" w:rsidTr="00B97409">
        <w:tc>
          <w:tcPr>
            <w:tcW w:w="2246" w:type="dxa"/>
            <w:shd w:val="clear" w:color="auto" w:fill="auto"/>
          </w:tcPr>
          <w:p w14:paraId="75FDA41D" w14:textId="6F06BD56" w:rsidR="002F6CE5" w:rsidRPr="00785F18" w:rsidRDefault="00140FFC" w:rsidP="00150FE5">
            <w:r>
              <w:fldChar w:fldCharType="begin"/>
            </w:r>
            <w:r w:rsidR="009E2720">
              <w:instrText xml:space="preserve"> DOCPROPERTY  L_AUTHOR  \* MERGEFORMAT </w:instrText>
            </w:r>
            <w:r>
              <w:fldChar w:fldCharType="separate"/>
            </w:r>
            <w:r w:rsidR="00712F9E">
              <w:t>Redacteur</w:t>
            </w:r>
            <w:r w:rsidR="00BA3472">
              <w:t>en:</w:t>
            </w:r>
            <w:r>
              <w:fldChar w:fldCharType="end"/>
            </w:r>
          </w:p>
        </w:tc>
        <w:tc>
          <w:tcPr>
            <w:tcW w:w="5480" w:type="dxa"/>
            <w:shd w:val="clear" w:color="auto" w:fill="auto"/>
          </w:tcPr>
          <w:p w14:paraId="75FDA41E" w14:textId="5031545C" w:rsidR="002F6CE5" w:rsidRDefault="00B432AA" w:rsidP="00150FE5">
            <w:r>
              <w:t>Hajo Provó Kluit</w:t>
            </w:r>
            <w:r w:rsidR="005D1B3A">
              <w:t xml:space="preserve"> &amp;</w:t>
            </w:r>
            <w:r>
              <w:t xml:space="preserve"> Caroline Ramaekers</w:t>
            </w:r>
          </w:p>
          <w:p w14:paraId="75FDA41F" w14:textId="787AC395" w:rsidR="002F6CE5" w:rsidRPr="00785F18" w:rsidRDefault="005D1B3A" w:rsidP="00150FE5">
            <w:r>
              <w:t>A</w:t>
            </w:r>
            <w:r w:rsidR="00326699">
              <w:t>fgestemd met</w:t>
            </w:r>
            <w:r w:rsidR="00974C35">
              <w:t xml:space="preserve"> IMH</w:t>
            </w:r>
            <w:r w:rsidR="00B432AA">
              <w:t>,</w:t>
            </w:r>
            <w:r w:rsidR="008D2246">
              <w:t xml:space="preserve"> RVO.nl/CBI</w:t>
            </w:r>
            <w:r w:rsidR="00B432AA">
              <w:t xml:space="preserve"> en PV GEV</w:t>
            </w:r>
          </w:p>
        </w:tc>
      </w:tr>
    </w:tbl>
    <w:p w14:paraId="75FDA421" w14:textId="77777777" w:rsidR="00991C2E" w:rsidRDefault="00991C2E" w:rsidP="00150FE5"/>
    <w:p w14:paraId="75FDA422" w14:textId="77777777" w:rsidR="00991C2E" w:rsidRDefault="00991C2E" w:rsidP="00150FE5"/>
    <w:p w14:paraId="75FDA423" w14:textId="77777777" w:rsidR="00991C2E" w:rsidRDefault="00991C2E" w:rsidP="00150FE5"/>
    <w:p w14:paraId="75FDA427" w14:textId="628A13BA" w:rsidR="00AE299D" w:rsidRDefault="00AE299D" w:rsidP="00150FE5">
      <w:pPr>
        <w:spacing w:line="240" w:lineRule="auto"/>
      </w:pPr>
    </w:p>
    <w:p w14:paraId="6348906F" w14:textId="77777777" w:rsidR="00AE299D" w:rsidRPr="00AE299D" w:rsidRDefault="00AE299D" w:rsidP="00150FE5"/>
    <w:p w14:paraId="4D296588" w14:textId="77777777" w:rsidR="00AE299D" w:rsidRPr="00AE299D" w:rsidRDefault="00AE299D" w:rsidP="00150FE5"/>
    <w:p w14:paraId="644406D5" w14:textId="77777777" w:rsidR="00AE299D" w:rsidRPr="00AE299D" w:rsidRDefault="00AE299D" w:rsidP="00150FE5"/>
    <w:p w14:paraId="106403DB" w14:textId="77777777" w:rsidR="00AE299D" w:rsidRPr="00AE299D" w:rsidRDefault="00AE299D" w:rsidP="00150FE5"/>
    <w:p w14:paraId="30FE3551" w14:textId="77777777" w:rsidR="00AE299D" w:rsidRPr="00AE299D" w:rsidRDefault="00AE299D" w:rsidP="00150FE5"/>
    <w:p w14:paraId="58C7C47E" w14:textId="77777777" w:rsidR="00AE299D" w:rsidRPr="00AE299D" w:rsidRDefault="00AE299D" w:rsidP="00150FE5"/>
    <w:p w14:paraId="6623A1AE" w14:textId="02CA0CFD" w:rsidR="00AE299D" w:rsidRDefault="00AE299D" w:rsidP="00150FE5"/>
    <w:p w14:paraId="75FDA428" w14:textId="696904A5" w:rsidR="00A908F9" w:rsidRDefault="00AE299D" w:rsidP="00150FE5">
      <w:pPr>
        <w:pStyle w:val="Heading1"/>
      </w:pPr>
      <w:r>
        <w:lastRenderedPageBreak/>
        <w:tab/>
      </w:r>
      <w:bookmarkEnd w:id="0"/>
      <w:bookmarkEnd w:id="1"/>
      <w:bookmarkEnd w:id="2"/>
      <w:bookmarkEnd w:id="3"/>
      <w:r>
        <w:fldChar w:fldCharType="begin"/>
      </w:r>
      <w:r>
        <w:instrText xml:space="preserve"> DOCPROPERTY  L_TOC  \* MERGEFORMAT </w:instrText>
      </w:r>
      <w:r>
        <w:fldChar w:fldCharType="separate"/>
      </w:r>
      <w:bookmarkStart w:id="4" w:name="_Toc473812715"/>
      <w:bookmarkStart w:id="5" w:name="_Toc287454445"/>
      <w:bookmarkStart w:id="6" w:name="_Toc287446465"/>
      <w:bookmarkStart w:id="7" w:name="_Toc483844327"/>
      <w:bookmarkStart w:id="8" w:name="_Toc491439374"/>
      <w:r>
        <w:t>Inhoudsopgave</w:t>
      </w:r>
      <w:bookmarkEnd w:id="4"/>
      <w:bookmarkEnd w:id="5"/>
      <w:bookmarkEnd w:id="6"/>
      <w:bookmarkEnd w:id="7"/>
      <w:bookmarkEnd w:id="8"/>
      <w:r>
        <w:fldChar w:fldCharType="end"/>
      </w:r>
      <w:r>
        <w:t xml:space="preserve"> </w:t>
      </w:r>
    </w:p>
    <w:p w14:paraId="7FBD2AB7" w14:textId="77777777" w:rsidR="00033158" w:rsidRDefault="00150FE5" w:rsidP="00150FE5">
      <w:pPr>
        <w:pStyle w:val="TOC2"/>
      </w:pPr>
      <w:r>
        <w:rPr>
          <w:noProof w:val="0"/>
        </w:rPr>
        <w:tab/>
      </w:r>
      <w:r w:rsidR="00140FFC" w:rsidRPr="00785F18">
        <w:rPr>
          <w:noProof w:val="0"/>
        </w:rPr>
        <w:fldChar w:fldCharType="begin"/>
      </w:r>
      <w:r w:rsidR="006B2292" w:rsidRPr="00785F18">
        <w:instrText xml:space="preserve"> TOC \t "Heading 1;2;Heading 2;3;Heading 3;4;Kop-Inhoudsopgave;1;Kop zonder nummering;1;Subtitle;2;Title;1" </w:instrText>
      </w:r>
      <w:r w:rsidR="00140FFC" w:rsidRPr="00785F18">
        <w:rPr>
          <w:noProof w:val="0"/>
        </w:rPr>
        <w:fldChar w:fldCharType="separate"/>
      </w:r>
    </w:p>
    <w:p w14:paraId="171CA5EC" w14:textId="44F865E4" w:rsidR="00033158" w:rsidRDefault="00033158">
      <w:pPr>
        <w:pStyle w:val="TOC2"/>
        <w:rPr>
          <w:rFonts w:asciiTheme="minorHAnsi" w:eastAsiaTheme="minorEastAsia" w:hAnsiTheme="minorHAnsi" w:cstheme="minorBidi"/>
          <w:b w:val="0"/>
          <w:sz w:val="22"/>
          <w:szCs w:val="22"/>
        </w:rPr>
      </w:pPr>
      <w:r>
        <w:tab/>
      </w:r>
      <w:r w:rsidRPr="00033158">
        <w:rPr>
          <w:b w:val="0"/>
        </w:rPr>
        <w:t>Inhoudsopgave</w:t>
      </w:r>
      <w:r w:rsidRPr="00033158">
        <w:rPr>
          <w:b w:val="0"/>
        </w:rPr>
        <w:tab/>
      </w:r>
      <w:r w:rsidRPr="00033158">
        <w:rPr>
          <w:b w:val="0"/>
        </w:rPr>
        <w:fldChar w:fldCharType="begin"/>
      </w:r>
      <w:r w:rsidRPr="00033158">
        <w:rPr>
          <w:b w:val="0"/>
        </w:rPr>
        <w:instrText xml:space="preserve"> PAGEREF _Toc491439374 \h </w:instrText>
      </w:r>
      <w:r w:rsidRPr="00033158">
        <w:rPr>
          <w:b w:val="0"/>
        </w:rPr>
      </w:r>
      <w:r w:rsidRPr="00033158">
        <w:rPr>
          <w:b w:val="0"/>
        </w:rPr>
        <w:fldChar w:fldCharType="separate"/>
      </w:r>
      <w:r w:rsidRPr="00033158">
        <w:rPr>
          <w:b w:val="0"/>
        </w:rPr>
        <w:t>2</w:t>
      </w:r>
      <w:r w:rsidRPr="00033158">
        <w:rPr>
          <w:b w:val="0"/>
        </w:rPr>
        <w:fldChar w:fldCharType="end"/>
      </w:r>
    </w:p>
    <w:p w14:paraId="41160775" w14:textId="5E3F6FC9" w:rsidR="00033158" w:rsidRDefault="00033158">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_Toc491439375 \h </w:instrText>
      </w:r>
      <w:r>
        <w:fldChar w:fldCharType="separate"/>
      </w:r>
      <w:r>
        <w:t>3</w:t>
      </w:r>
      <w:r>
        <w:fldChar w:fldCharType="end"/>
      </w:r>
    </w:p>
    <w:p w14:paraId="0528DA3D" w14:textId="1B37ADC0" w:rsidR="00033158" w:rsidRDefault="00033158">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_Toc491439376 \h </w:instrText>
      </w:r>
      <w:r>
        <w:fldChar w:fldCharType="separate"/>
      </w:r>
      <w:r>
        <w:t>3</w:t>
      </w:r>
      <w:r>
        <w:fldChar w:fldCharType="end"/>
      </w:r>
    </w:p>
    <w:p w14:paraId="0B491B9F" w14:textId="5A663300" w:rsidR="00033158" w:rsidRDefault="00033158">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_Toc491439377 \h </w:instrText>
      </w:r>
      <w:r>
        <w:fldChar w:fldCharType="separate"/>
      </w:r>
      <w:r>
        <w:t>3</w:t>
      </w:r>
      <w:r>
        <w:fldChar w:fldCharType="end"/>
      </w:r>
    </w:p>
    <w:p w14:paraId="0EB564DA" w14:textId="70A7FA88" w:rsidR="00033158" w:rsidRDefault="00033158">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_Toc491439378 \h </w:instrText>
      </w:r>
      <w:r>
        <w:fldChar w:fldCharType="separate"/>
      </w:r>
      <w:r>
        <w:t>5</w:t>
      </w:r>
      <w:r>
        <w:fldChar w:fldCharType="end"/>
      </w:r>
    </w:p>
    <w:p w14:paraId="5FEABA9D" w14:textId="4E1DA255" w:rsidR="00033158" w:rsidRDefault="00033158">
      <w:pPr>
        <w:pStyle w:val="TOC2"/>
        <w:rPr>
          <w:rFonts w:asciiTheme="minorHAnsi" w:eastAsiaTheme="minorEastAsia" w:hAnsiTheme="minorHAnsi" w:cstheme="minorBidi"/>
          <w:b w:val="0"/>
          <w:sz w:val="22"/>
          <w:szCs w:val="22"/>
        </w:rPr>
      </w:pPr>
      <w:r>
        <w:t xml:space="preserve">3 </w:t>
      </w:r>
      <w:r>
        <w:rPr>
          <w:rFonts w:asciiTheme="minorHAnsi" w:eastAsiaTheme="minorEastAsia" w:hAnsiTheme="minorHAnsi" w:cstheme="minorBidi"/>
          <w:b w:val="0"/>
          <w:sz w:val="22"/>
          <w:szCs w:val="22"/>
        </w:rPr>
        <w:tab/>
      </w:r>
      <w:r>
        <w:t>Algemene achtergrond</w:t>
      </w:r>
      <w:r>
        <w:tab/>
      </w:r>
      <w:r>
        <w:fldChar w:fldCharType="begin"/>
      </w:r>
      <w:r>
        <w:instrText xml:space="preserve"> PAGEREF _Toc491439379 \h </w:instrText>
      </w:r>
      <w:r>
        <w:fldChar w:fldCharType="separate"/>
      </w:r>
      <w:r>
        <w:t>6</w:t>
      </w:r>
      <w:r>
        <w:fldChar w:fldCharType="end"/>
      </w:r>
    </w:p>
    <w:p w14:paraId="4B05F473" w14:textId="2DA61505" w:rsidR="00033158" w:rsidRDefault="00033158">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_Toc491439380 \h </w:instrText>
      </w:r>
      <w:r>
        <w:fldChar w:fldCharType="separate"/>
      </w:r>
      <w:r>
        <w:t>6</w:t>
      </w:r>
      <w:r>
        <w:fldChar w:fldCharType="end"/>
      </w:r>
    </w:p>
    <w:p w14:paraId="3E7FAA55" w14:textId="52A4AC17" w:rsidR="00033158" w:rsidRDefault="00033158">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_Toc491439381 \h </w:instrText>
      </w:r>
      <w:r>
        <w:fldChar w:fldCharType="separate"/>
      </w:r>
      <w:r>
        <w:t>6</w:t>
      </w:r>
      <w:r>
        <w:fldChar w:fldCharType="end"/>
      </w:r>
    </w:p>
    <w:p w14:paraId="42B64E74" w14:textId="68777FA8" w:rsidR="00033158" w:rsidRDefault="00033158">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_Toc491439382 \h </w:instrText>
      </w:r>
      <w:r>
        <w:fldChar w:fldCharType="separate"/>
      </w:r>
      <w:r>
        <w:t>7</w:t>
      </w:r>
      <w:r>
        <w:fldChar w:fldCharType="end"/>
      </w:r>
    </w:p>
    <w:p w14:paraId="66EC8E3B" w14:textId="17DBA282" w:rsidR="00033158" w:rsidRDefault="00033158">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_Toc491439383 \h </w:instrText>
      </w:r>
      <w:r>
        <w:fldChar w:fldCharType="separate"/>
      </w:r>
      <w:r>
        <w:t>8</w:t>
      </w:r>
      <w:r>
        <w:fldChar w:fldCharType="end"/>
      </w:r>
    </w:p>
    <w:p w14:paraId="1C196253" w14:textId="074575D4" w:rsidR="00033158" w:rsidRDefault="00033158">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_Toc491439384 \h </w:instrText>
      </w:r>
      <w:r>
        <w:fldChar w:fldCharType="separate"/>
      </w:r>
      <w:r>
        <w:t>10</w:t>
      </w:r>
      <w:r>
        <w:fldChar w:fldCharType="end"/>
      </w:r>
    </w:p>
    <w:p w14:paraId="14DDCB6B" w14:textId="46CD2BF4" w:rsidR="00033158" w:rsidRDefault="00033158">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_Toc491439385 \h </w:instrText>
      </w:r>
      <w:r>
        <w:fldChar w:fldCharType="separate"/>
      </w:r>
      <w:r>
        <w:t>10</w:t>
      </w:r>
      <w:r>
        <w:fldChar w:fldCharType="end"/>
      </w:r>
    </w:p>
    <w:p w14:paraId="1BD1835E" w14:textId="49A588C0" w:rsidR="00033158" w:rsidRDefault="00033158">
      <w:pPr>
        <w:pStyle w:val="TOC3"/>
        <w:rPr>
          <w:rFonts w:asciiTheme="minorHAnsi" w:eastAsiaTheme="minorEastAsia" w:hAnsiTheme="minorHAnsi" w:cstheme="minorBidi"/>
          <w:sz w:val="22"/>
          <w:szCs w:val="22"/>
        </w:rPr>
      </w:pPr>
      <w:r w:rsidRPr="00033158">
        <w:t>4.2</w:t>
      </w:r>
      <w:r>
        <w:rPr>
          <w:rFonts w:asciiTheme="minorHAnsi" w:eastAsiaTheme="minorEastAsia" w:hAnsiTheme="minorHAnsi" w:cstheme="minorBidi"/>
          <w:sz w:val="22"/>
          <w:szCs w:val="22"/>
        </w:rPr>
        <w:tab/>
      </w:r>
      <w:r w:rsidRPr="00033158">
        <w:t>Resultaatgerichtheid en transparantie</w:t>
      </w:r>
      <w:r>
        <w:tab/>
      </w:r>
      <w:r>
        <w:fldChar w:fldCharType="begin"/>
      </w:r>
      <w:r>
        <w:instrText xml:space="preserve"> PAGEREF _Toc491439386 \h </w:instrText>
      </w:r>
      <w:r>
        <w:fldChar w:fldCharType="separate"/>
      </w:r>
      <w:r>
        <w:t>10</w:t>
      </w:r>
      <w:r>
        <w:fldChar w:fldCharType="end"/>
      </w:r>
    </w:p>
    <w:p w14:paraId="4FA9692A" w14:textId="3F2FC107" w:rsidR="00033158" w:rsidRDefault="00033158">
      <w:pPr>
        <w:pStyle w:val="TOC3"/>
        <w:rPr>
          <w:rFonts w:asciiTheme="minorHAnsi" w:eastAsiaTheme="minorEastAsia" w:hAnsiTheme="minorHAnsi" w:cstheme="minorBidi"/>
          <w:sz w:val="22"/>
          <w:szCs w:val="22"/>
        </w:rPr>
      </w:pPr>
      <w:r w:rsidRPr="00033158">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_Toc491439387 \h </w:instrText>
      </w:r>
      <w:r>
        <w:fldChar w:fldCharType="separate"/>
      </w:r>
      <w:r>
        <w:t>11</w:t>
      </w:r>
      <w:r>
        <w:fldChar w:fldCharType="end"/>
      </w:r>
    </w:p>
    <w:p w14:paraId="31345D0E" w14:textId="6D15A29D" w:rsidR="00033158" w:rsidRDefault="00033158">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_Toc491439388 \h </w:instrText>
      </w:r>
      <w:r>
        <w:fldChar w:fldCharType="separate"/>
      </w:r>
      <w:r>
        <w:t>12</w:t>
      </w:r>
      <w:r>
        <w:fldChar w:fldCharType="end"/>
      </w:r>
    </w:p>
    <w:p w14:paraId="40E2B209" w14:textId="575714A2" w:rsidR="00033158" w:rsidRDefault="00033158">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_Toc491439389 \h </w:instrText>
      </w:r>
      <w:r>
        <w:fldChar w:fldCharType="separate"/>
      </w:r>
      <w:r>
        <w:t>12</w:t>
      </w:r>
      <w:r>
        <w:fldChar w:fldCharType="end"/>
      </w:r>
    </w:p>
    <w:p w14:paraId="53D4D5D7" w14:textId="60D82958" w:rsidR="00033158" w:rsidRDefault="00033158">
      <w:pPr>
        <w:pStyle w:val="TOC3"/>
        <w:rPr>
          <w:rFonts w:asciiTheme="minorHAnsi" w:eastAsiaTheme="minorEastAsia" w:hAnsiTheme="minorHAnsi" w:cstheme="minorBidi"/>
          <w:sz w:val="22"/>
          <w:szCs w:val="22"/>
        </w:rPr>
      </w:pPr>
      <w:r w:rsidRPr="00033158">
        <w:t>4.6</w:t>
      </w:r>
      <w:r>
        <w:rPr>
          <w:rFonts w:asciiTheme="minorHAnsi" w:eastAsiaTheme="minorEastAsia" w:hAnsiTheme="minorHAnsi" w:cstheme="minorBidi"/>
          <w:sz w:val="22"/>
          <w:szCs w:val="22"/>
        </w:rPr>
        <w:tab/>
      </w:r>
      <w:r w:rsidRPr="00033158">
        <w:t>Human Resource Management</w:t>
      </w:r>
      <w:r>
        <w:tab/>
      </w:r>
      <w:r>
        <w:fldChar w:fldCharType="begin"/>
      </w:r>
      <w:r>
        <w:instrText xml:space="preserve"> PAGEREF _Toc491439390 \h </w:instrText>
      </w:r>
      <w:r>
        <w:fldChar w:fldCharType="separate"/>
      </w:r>
      <w:r>
        <w:t>13</w:t>
      </w:r>
      <w:r>
        <w:fldChar w:fldCharType="end"/>
      </w:r>
    </w:p>
    <w:p w14:paraId="271C7964" w14:textId="18CFCDC8" w:rsidR="00033158" w:rsidRDefault="00033158">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_Toc491439391 \h </w:instrText>
      </w:r>
      <w:r>
        <w:fldChar w:fldCharType="separate"/>
      </w:r>
      <w:r>
        <w:t>13</w:t>
      </w:r>
      <w:r>
        <w:fldChar w:fldCharType="end"/>
      </w:r>
    </w:p>
    <w:p w14:paraId="0A69B478" w14:textId="7A5F5478" w:rsidR="00033158" w:rsidRDefault="00033158">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_Toc491439392 \h </w:instrText>
      </w:r>
      <w:r>
        <w:fldChar w:fldCharType="separate"/>
      </w:r>
      <w:r>
        <w:t>14</w:t>
      </w:r>
      <w:r>
        <w:fldChar w:fldCharType="end"/>
      </w:r>
    </w:p>
    <w:p w14:paraId="143D097B" w14:textId="5C9437B3" w:rsidR="00033158" w:rsidRDefault="00033158">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_Toc491439393 \h </w:instrText>
      </w:r>
      <w:r>
        <w:fldChar w:fldCharType="separate"/>
      </w:r>
      <w:r>
        <w:t>15</w:t>
      </w:r>
      <w:r>
        <w:fldChar w:fldCharType="end"/>
      </w:r>
    </w:p>
    <w:p w14:paraId="04A17BC5" w14:textId="3CC1D2C7" w:rsidR="00033158" w:rsidRDefault="00033158">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_Toc491439394 \h </w:instrText>
      </w:r>
      <w:r>
        <w:fldChar w:fldCharType="separate"/>
      </w:r>
      <w:r>
        <w:t>16</w:t>
      </w:r>
      <w:r>
        <w:fldChar w:fldCharType="end"/>
      </w:r>
    </w:p>
    <w:p w14:paraId="4215DE01" w14:textId="60E457C7" w:rsidR="00033158" w:rsidRDefault="00033158">
      <w:pPr>
        <w:pStyle w:val="TOC3"/>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_Toc491439395 \h </w:instrText>
      </w:r>
      <w:r>
        <w:fldChar w:fldCharType="separate"/>
      </w:r>
      <w:r>
        <w:t>16</w:t>
      </w:r>
      <w:r>
        <w:fldChar w:fldCharType="end"/>
      </w:r>
    </w:p>
    <w:p w14:paraId="75FDA441" w14:textId="5754451D" w:rsidR="00261F77" w:rsidRPr="00290657" w:rsidRDefault="00140FFC" w:rsidP="00150FE5">
      <w:pPr>
        <w:pStyle w:val="TOC3"/>
        <w:rPr>
          <w:rFonts w:ascii="Calibri" w:hAnsi="Calibri"/>
          <w:sz w:val="22"/>
          <w:szCs w:val="22"/>
        </w:rPr>
      </w:pPr>
      <w:r w:rsidRPr="00785F18">
        <w:fldChar w:fldCharType="end"/>
      </w:r>
    </w:p>
    <w:p w14:paraId="75FDA442" w14:textId="77777777" w:rsidR="00101F98" w:rsidRPr="00785F18" w:rsidRDefault="00101F98" w:rsidP="00150FE5">
      <w:pPr>
        <w:tabs>
          <w:tab w:val="left" w:pos="0"/>
        </w:tabs>
      </w:pPr>
    </w:p>
    <w:p w14:paraId="75FDA443" w14:textId="77777777" w:rsidR="00A908F9" w:rsidRDefault="00A908F9" w:rsidP="00150FE5"/>
    <w:p w14:paraId="75FDA444" w14:textId="77777777" w:rsidR="00A908F9" w:rsidRPr="00A908F9" w:rsidRDefault="00A908F9" w:rsidP="00150FE5"/>
    <w:p w14:paraId="75FDA445" w14:textId="77777777" w:rsidR="00A908F9" w:rsidRPr="00A908F9" w:rsidRDefault="00A908F9" w:rsidP="00150FE5"/>
    <w:p w14:paraId="75FDA446" w14:textId="77777777" w:rsidR="00A908F9" w:rsidRDefault="00A908F9" w:rsidP="00150FE5"/>
    <w:p w14:paraId="75FDA447" w14:textId="77777777" w:rsidR="00101F98" w:rsidRPr="00A908F9" w:rsidRDefault="00101F98" w:rsidP="00150FE5">
      <w:pPr>
        <w:sectPr w:rsidR="00101F98" w:rsidRPr="00A908F9" w:rsidSect="00EE1B9E">
          <w:headerReference w:type="default" r:id="rId11"/>
          <w:footerReference w:type="default" r:id="rId12"/>
          <w:headerReference w:type="first" r:id="rId13"/>
          <w:type w:val="continuous"/>
          <w:pgSz w:w="11906" w:h="16838" w:code="9"/>
          <w:pgMar w:top="2520" w:right="960" w:bottom="1080" w:left="3220" w:header="200" w:footer="660" w:gutter="0"/>
          <w:cols w:space="708"/>
          <w:titlePg/>
          <w:docGrid w:linePitch="360"/>
        </w:sectPr>
      </w:pPr>
    </w:p>
    <w:p w14:paraId="3AC18B8D" w14:textId="0B8B0C67" w:rsidR="00AE299D" w:rsidRDefault="00AE299D" w:rsidP="00150FE5">
      <w:pPr>
        <w:pStyle w:val="Heading1"/>
        <w:tabs>
          <w:tab w:val="num" w:pos="0"/>
        </w:tabs>
        <w:spacing w:after="240" w:line="240" w:lineRule="auto"/>
        <w:ind w:hanging="1162"/>
      </w:pPr>
      <w:bookmarkStart w:id="13" w:name="_Toc238533654"/>
      <w:bookmarkStart w:id="14" w:name="_Toc238537583"/>
      <w:bookmarkStart w:id="15" w:name="_Toc238538136"/>
      <w:bookmarkStart w:id="16" w:name="_Toc238538151"/>
      <w:bookmarkStart w:id="17" w:name="_Toc410397639"/>
      <w:bookmarkStart w:id="18" w:name="_Toc491439375"/>
      <w:bookmarkStart w:id="19" w:name="_Toc300822504"/>
      <w:bookmarkEnd w:id="13"/>
      <w:bookmarkEnd w:id="14"/>
      <w:bookmarkEnd w:id="15"/>
      <w:bookmarkEnd w:id="16"/>
      <w:r>
        <w:lastRenderedPageBreak/>
        <w:t>1</w:t>
      </w:r>
      <w:r>
        <w:tab/>
      </w:r>
      <w:bookmarkEnd w:id="17"/>
      <w:r>
        <w:t>Samenvatting</w:t>
      </w:r>
      <w:bookmarkEnd w:id="18"/>
    </w:p>
    <w:p w14:paraId="7080DA1A" w14:textId="605B2EA1" w:rsidR="009752DB" w:rsidRPr="0075261B" w:rsidRDefault="00B853E2" w:rsidP="00150FE5">
      <w:pPr>
        <w:rPr>
          <w:szCs w:val="18"/>
        </w:rPr>
      </w:pPr>
      <w:bookmarkStart w:id="20" w:name="_Toc410397640"/>
      <w:r>
        <w:rPr>
          <w:szCs w:val="18"/>
        </w:rPr>
        <w:t xml:space="preserve">Het </w:t>
      </w:r>
      <w:r w:rsidRPr="00B853E2">
        <w:rPr>
          <w:i/>
          <w:szCs w:val="18"/>
        </w:rPr>
        <w:t>International Trade Centre</w:t>
      </w:r>
      <w:r>
        <w:rPr>
          <w:szCs w:val="18"/>
        </w:rPr>
        <w:t xml:space="preserve"> (ITC), dochterorganisatie van de Wereldhandelsorganisatie (WTO) en de </w:t>
      </w:r>
      <w:r w:rsidRPr="00B853E2">
        <w:rPr>
          <w:i/>
          <w:szCs w:val="18"/>
        </w:rPr>
        <w:t>United Nations Conference on Trade and Development</w:t>
      </w:r>
      <w:r>
        <w:rPr>
          <w:szCs w:val="18"/>
        </w:rPr>
        <w:t xml:space="preserve"> (UNCTAD),</w:t>
      </w:r>
      <w:r w:rsidR="009752DB" w:rsidRPr="0075261B">
        <w:rPr>
          <w:szCs w:val="18"/>
        </w:rPr>
        <w:t xml:space="preserve"> heeft drie strategische doelstellingen: </w:t>
      </w:r>
    </w:p>
    <w:p w14:paraId="1A3C16D3" w14:textId="77777777" w:rsidR="009752DB" w:rsidRPr="0075261B" w:rsidRDefault="009752DB" w:rsidP="00150FE5">
      <w:pPr>
        <w:numPr>
          <w:ilvl w:val="0"/>
          <w:numId w:val="41"/>
        </w:numPr>
        <w:rPr>
          <w:szCs w:val="18"/>
        </w:rPr>
      </w:pPr>
      <w:r w:rsidRPr="0075261B">
        <w:rPr>
          <w:szCs w:val="18"/>
        </w:rPr>
        <w:t>versterkte integratie van bedrijven in de wereldeconomie;</w:t>
      </w:r>
    </w:p>
    <w:p w14:paraId="0E446E67" w14:textId="77777777" w:rsidR="009752DB" w:rsidRPr="0075261B" w:rsidRDefault="009752DB" w:rsidP="00150FE5">
      <w:pPr>
        <w:numPr>
          <w:ilvl w:val="0"/>
          <w:numId w:val="41"/>
        </w:numPr>
        <w:rPr>
          <w:szCs w:val="18"/>
        </w:rPr>
      </w:pPr>
      <w:r w:rsidRPr="0075261B">
        <w:rPr>
          <w:szCs w:val="18"/>
        </w:rPr>
        <w:t>verbeterde dienstverlening aan micro, midden en kleinbedrijven</w:t>
      </w:r>
      <w:r>
        <w:rPr>
          <w:szCs w:val="18"/>
        </w:rPr>
        <w:t xml:space="preserve"> (MKB)</w:t>
      </w:r>
      <w:r w:rsidRPr="0075261B">
        <w:rPr>
          <w:szCs w:val="18"/>
        </w:rPr>
        <w:t xml:space="preserve"> door handel- en investeringen-ondersteunende instellingen;</w:t>
      </w:r>
    </w:p>
    <w:p w14:paraId="724C1F69" w14:textId="4BB29F25" w:rsidR="009752DB" w:rsidRPr="0075261B" w:rsidRDefault="009752DB" w:rsidP="00150FE5">
      <w:pPr>
        <w:numPr>
          <w:ilvl w:val="0"/>
          <w:numId w:val="41"/>
        </w:numPr>
        <w:rPr>
          <w:szCs w:val="18"/>
        </w:rPr>
      </w:pPr>
      <w:r w:rsidRPr="0075261B">
        <w:rPr>
          <w:szCs w:val="18"/>
        </w:rPr>
        <w:t>Toegenomen concurrentiekracht van micro, midden en kleinbedrijven</w:t>
      </w:r>
      <w:r>
        <w:rPr>
          <w:szCs w:val="18"/>
        </w:rPr>
        <w:t>.</w:t>
      </w:r>
    </w:p>
    <w:p w14:paraId="6D5DEF9C" w14:textId="77777777" w:rsidR="009752DB" w:rsidRDefault="009752DB" w:rsidP="00150FE5">
      <w:pPr>
        <w:rPr>
          <w:szCs w:val="18"/>
        </w:rPr>
      </w:pPr>
    </w:p>
    <w:p w14:paraId="448B3F85" w14:textId="4C8AD6DB" w:rsidR="009752DB" w:rsidRPr="0075261B" w:rsidRDefault="00B853E2" w:rsidP="00150FE5">
      <w:pPr>
        <w:rPr>
          <w:szCs w:val="18"/>
        </w:rPr>
      </w:pPr>
      <w:r>
        <w:rPr>
          <w:szCs w:val="18"/>
        </w:rPr>
        <w:t>ITC</w:t>
      </w:r>
      <w:r w:rsidR="009752DB" w:rsidRPr="0075261B">
        <w:rPr>
          <w:szCs w:val="18"/>
        </w:rPr>
        <w:t xml:space="preserve"> richt zich voornamelijk op minst ontwikkelde landen, binnen</w:t>
      </w:r>
      <w:r w:rsidR="00150FE5">
        <w:rPr>
          <w:szCs w:val="18"/>
        </w:rPr>
        <w:t>-</w:t>
      </w:r>
      <w:r w:rsidR="009752DB" w:rsidRPr="0075261B">
        <w:rPr>
          <w:szCs w:val="18"/>
        </w:rPr>
        <w:t>staten, kleine eilandstaten in ontwikkeling</w:t>
      </w:r>
      <w:r w:rsidR="009752DB">
        <w:rPr>
          <w:szCs w:val="18"/>
        </w:rPr>
        <w:t>,</w:t>
      </w:r>
      <w:r w:rsidR="009752DB" w:rsidRPr="0075261B">
        <w:rPr>
          <w:szCs w:val="18"/>
        </w:rPr>
        <w:t xml:space="preserve"> en sub-Sahara Afrika. 80% van het technische assistentie budget wordt aan landen uit deze categorieën besteed</w:t>
      </w:r>
      <w:r>
        <w:rPr>
          <w:szCs w:val="18"/>
        </w:rPr>
        <w:t xml:space="preserve">. Door </w:t>
      </w:r>
      <w:r w:rsidR="00F6424A">
        <w:rPr>
          <w:szCs w:val="18"/>
        </w:rPr>
        <w:t xml:space="preserve">handel </w:t>
      </w:r>
      <w:r w:rsidR="00F6424A" w:rsidRPr="0075261B">
        <w:rPr>
          <w:szCs w:val="18"/>
        </w:rPr>
        <w:t>gerelateerde</w:t>
      </w:r>
      <w:r w:rsidRPr="0075261B">
        <w:rPr>
          <w:szCs w:val="18"/>
        </w:rPr>
        <w:t xml:space="preserve"> technische assistentie te verlenen en marktinformatie te verschaffen draagt de organisatie bij aan handel, economische groei, betere banen en armoedebestrijding. </w:t>
      </w:r>
      <w:r w:rsidR="009752DB" w:rsidRPr="0075261B">
        <w:rPr>
          <w:szCs w:val="18"/>
        </w:rPr>
        <w:t>ITC ondersteunt regionale (handels)integratie en zet sterk in op inclusiviteit door zich te richten op vrouwe</w:t>
      </w:r>
      <w:r w:rsidR="009752DB">
        <w:rPr>
          <w:szCs w:val="18"/>
        </w:rPr>
        <w:t xml:space="preserve">n in </w:t>
      </w:r>
      <w:r w:rsidR="009752DB" w:rsidRPr="0075261B">
        <w:rPr>
          <w:szCs w:val="18"/>
        </w:rPr>
        <w:t xml:space="preserve">handel en </w:t>
      </w:r>
      <w:r>
        <w:rPr>
          <w:szCs w:val="18"/>
        </w:rPr>
        <w:t xml:space="preserve">op </w:t>
      </w:r>
      <w:r w:rsidR="009752DB" w:rsidRPr="0075261B">
        <w:rPr>
          <w:szCs w:val="18"/>
        </w:rPr>
        <w:t xml:space="preserve">de ontwikkeling van internationaal ondernemerschap. </w:t>
      </w:r>
      <w:r w:rsidR="00AF34E5">
        <w:rPr>
          <w:rFonts w:eastAsia="Segoe UI Emoji" w:cs="Segoe UI Emoji"/>
        </w:rPr>
        <w:t>Het werkterrein en de prioriteiten van ITC sluiten zodoende goed aan op het Nederlandse beleid voor hulp, handel en investeringen.</w:t>
      </w:r>
    </w:p>
    <w:p w14:paraId="46B66DD6" w14:textId="77777777" w:rsidR="009752DB" w:rsidRDefault="009752DB" w:rsidP="00150FE5"/>
    <w:p w14:paraId="2E13745E" w14:textId="3A32B780" w:rsidR="00AE299D" w:rsidRDefault="00AE299D" w:rsidP="00150FE5">
      <w:pPr>
        <w:pStyle w:val="Heading2"/>
        <w:tabs>
          <w:tab w:val="left" w:pos="-1162"/>
          <w:tab w:val="left" w:pos="0"/>
          <w:tab w:val="num" w:pos="1160"/>
        </w:tabs>
        <w:spacing w:line="240" w:lineRule="auto"/>
        <w:ind w:hanging="1162"/>
      </w:pPr>
      <w:bookmarkStart w:id="21" w:name="_Toc491439376"/>
      <w:r>
        <w:t xml:space="preserve">1.1 </w:t>
      </w:r>
      <w:r>
        <w:tab/>
        <w:t>Institutionele aspecten en functioneren</w:t>
      </w:r>
      <w:bookmarkEnd w:id="20"/>
      <w:bookmarkEnd w:id="21"/>
    </w:p>
    <w:p w14:paraId="0945C3C0" w14:textId="3CC870E7" w:rsidR="00AE299D" w:rsidRDefault="00AE299D" w:rsidP="00150FE5">
      <w:pPr>
        <w:rPr>
          <w:rFonts w:eastAsia="Segoe UI Emoji" w:cs="Segoe UI Emoji"/>
        </w:rPr>
      </w:pPr>
      <w:r>
        <w:rPr>
          <w:rFonts w:eastAsia="Segoe UI Emoji" w:cs="Segoe UI Emoji"/>
        </w:rPr>
        <w:t xml:space="preserve">ITC heeft de afgelopen jaren de organisatie op diverse punten weten te versterken en is een gewaardeerd implementatiepartner voor Nederland. </w:t>
      </w:r>
      <w:r w:rsidR="00AF34E5">
        <w:rPr>
          <w:rFonts w:eastAsia="Segoe UI Emoji" w:cs="Segoe UI Emoji"/>
        </w:rPr>
        <w:t>H</w:t>
      </w:r>
      <w:r>
        <w:rPr>
          <w:rFonts w:eastAsia="Segoe UI Emoji" w:cs="Segoe UI Emoji"/>
        </w:rPr>
        <w:t>et</w:t>
      </w:r>
      <w:r w:rsidR="00811A33">
        <w:rPr>
          <w:rFonts w:eastAsia="Segoe UI Emoji" w:cs="Segoe UI Emoji"/>
        </w:rPr>
        <w:t xml:space="preserve"> </w:t>
      </w:r>
      <w:r w:rsidR="00AF34E5">
        <w:rPr>
          <w:rFonts w:eastAsia="Segoe UI Emoji" w:cs="Segoe UI Emoji"/>
        </w:rPr>
        <w:t>overall</w:t>
      </w:r>
      <w:r w:rsidR="00811A33">
        <w:rPr>
          <w:rFonts w:eastAsia="Segoe UI Emoji" w:cs="Segoe UI Emoji"/>
        </w:rPr>
        <w:t xml:space="preserve"> oordeel over ITC </w:t>
      </w:r>
      <w:r w:rsidR="00AF34E5">
        <w:rPr>
          <w:rFonts w:eastAsia="Segoe UI Emoji" w:cs="Segoe UI Emoji"/>
        </w:rPr>
        <w:t>is “</w:t>
      </w:r>
      <w:r w:rsidR="00811A33">
        <w:rPr>
          <w:rFonts w:eastAsia="Segoe UI Emoji" w:cs="Segoe UI Emoji"/>
        </w:rPr>
        <w:t>goed</w:t>
      </w:r>
      <w:r w:rsidR="00AF34E5">
        <w:rPr>
          <w:rFonts w:eastAsia="Segoe UI Emoji" w:cs="Segoe UI Emoji"/>
        </w:rPr>
        <w:t>”</w:t>
      </w:r>
      <w:r>
        <w:rPr>
          <w:rFonts w:eastAsia="Segoe UI Emoji" w:cs="Segoe UI Emoji"/>
        </w:rPr>
        <w:t>.</w:t>
      </w:r>
    </w:p>
    <w:p w14:paraId="5B8BD8ED" w14:textId="6FBF2D9A" w:rsidR="00AE299D" w:rsidRDefault="00AE299D" w:rsidP="00150FE5"/>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9"/>
        <w:gridCol w:w="841"/>
        <w:gridCol w:w="1431"/>
      </w:tblGrid>
      <w:tr w:rsidR="00AE299D" w14:paraId="05C1FEE2" w14:textId="77777777" w:rsidTr="00236D79">
        <w:tc>
          <w:tcPr>
            <w:tcW w:w="5349" w:type="dxa"/>
            <w:tcBorders>
              <w:top w:val="single" w:sz="12" w:space="0" w:color="auto"/>
              <w:left w:val="single" w:sz="12" w:space="0" w:color="auto"/>
              <w:bottom w:val="single" w:sz="12" w:space="0" w:color="auto"/>
            </w:tcBorders>
            <w:shd w:val="clear" w:color="auto" w:fill="BFBFBF" w:themeFill="background1" w:themeFillShade="BF"/>
          </w:tcPr>
          <w:p w14:paraId="738CCA8F" w14:textId="18AE821F" w:rsidR="00AE299D" w:rsidRDefault="00AE299D" w:rsidP="00150FE5">
            <w:r w:rsidRPr="008F1B70">
              <w:rPr>
                <w:b/>
              </w:rPr>
              <w:t xml:space="preserve">Institutionele aspecten </w:t>
            </w:r>
            <w:r>
              <w:rPr>
                <w:b/>
              </w:rPr>
              <w:t xml:space="preserve">en functioneren </w:t>
            </w:r>
          </w:p>
        </w:tc>
        <w:tc>
          <w:tcPr>
            <w:tcW w:w="841" w:type="dxa"/>
            <w:tcBorders>
              <w:top w:val="single" w:sz="12" w:space="0" w:color="auto"/>
              <w:bottom w:val="single" w:sz="12" w:space="0" w:color="auto"/>
            </w:tcBorders>
            <w:shd w:val="clear" w:color="auto" w:fill="BFBFBF" w:themeFill="background1" w:themeFillShade="BF"/>
          </w:tcPr>
          <w:p w14:paraId="7B43CFD9" w14:textId="77777777" w:rsidR="00AE299D" w:rsidRDefault="00AE299D" w:rsidP="00150FE5">
            <w:r>
              <w:t>Score</w:t>
            </w:r>
          </w:p>
        </w:tc>
        <w:tc>
          <w:tcPr>
            <w:tcW w:w="1431" w:type="dxa"/>
            <w:tcBorders>
              <w:top w:val="single" w:sz="12" w:space="0" w:color="auto"/>
              <w:bottom w:val="single" w:sz="12" w:space="0" w:color="auto"/>
              <w:right w:val="single" w:sz="12" w:space="0" w:color="auto"/>
            </w:tcBorders>
            <w:shd w:val="clear" w:color="auto" w:fill="BFBFBF" w:themeFill="background1" w:themeFillShade="BF"/>
          </w:tcPr>
          <w:p w14:paraId="7389BA6E" w14:textId="77777777" w:rsidR="00AE299D" w:rsidRDefault="00AE299D" w:rsidP="00150FE5">
            <w:r>
              <w:t>Verandering</w:t>
            </w:r>
          </w:p>
        </w:tc>
      </w:tr>
      <w:tr w:rsidR="00AE299D" w14:paraId="3E3DB679" w14:textId="77777777" w:rsidTr="00912FFF">
        <w:tc>
          <w:tcPr>
            <w:tcW w:w="5349" w:type="dxa"/>
            <w:tcBorders>
              <w:top w:val="single" w:sz="12" w:space="0" w:color="auto"/>
              <w:left w:val="single" w:sz="12" w:space="0" w:color="auto"/>
            </w:tcBorders>
            <w:shd w:val="clear" w:color="auto" w:fill="auto"/>
          </w:tcPr>
          <w:p w14:paraId="6CDB35A7" w14:textId="77777777" w:rsidR="00AE299D" w:rsidRPr="00C26035" w:rsidRDefault="00AE299D" w:rsidP="00150FE5">
            <w:r>
              <w:t>Strategie en verantwoording</w:t>
            </w:r>
            <w:r w:rsidRPr="00C26035">
              <w:t xml:space="preserve"> </w:t>
            </w:r>
          </w:p>
        </w:tc>
        <w:tc>
          <w:tcPr>
            <w:tcW w:w="841" w:type="dxa"/>
            <w:tcBorders>
              <w:top w:val="single" w:sz="12" w:space="0" w:color="auto"/>
            </w:tcBorders>
            <w:shd w:val="clear" w:color="auto" w:fill="auto"/>
            <w:vAlign w:val="center"/>
          </w:tcPr>
          <w:p w14:paraId="30A64420" w14:textId="77777777" w:rsidR="00AE299D" w:rsidRDefault="00AE299D" w:rsidP="000D5A63">
            <w:pPr>
              <w:jc w:val="center"/>
            </w:pPr>
            <w:r>
              <w:t>4</w:t>
            </w:r>
          </w:p>
        </w:tc>
        <w:tc>
          <w:tcPr>
            <w:tcW w:w="1431" w:type="dxa"/>
            <w:tcBorders>
              <w:top w:val="single" w:sz="12" w:space="0" w:color="auto"/>
              <w:right w:val="single" w:sz="12" w:space="0" w:color="auto"/>
            </w:tcBorders>
            <w:shd w:val="clear" w:color="auto" w:fill="auto"/>
            <w:vAlign w:val="center"/>
          </w:tcPr>
          <w:p w14:paraId="75905C9C" w14:textId="77777777" w:rsidR="00AE299D" w:rsidRDefault="00AE299D" w:rsidP="000D5A63">
            <w:pPr>
              <w:jc w:val="center"/>
            </w:pPr>
            <w:r w:rsidRPr="00193994">
              <w:sym w:font="Wingdings" w:char="F0E9"/>
            </w:r>
          </w:p>
        </w:tc>
      </w:tr>
      <w:tr w:rsidR="00AE299D" w14:paraId="6FD6FB5A" w14:textId="77777777" w:rsidTr="00912FFF">
        <w:tc>
          <w:tcPr>
            <w:tcW w:w="5349" w:type="dxa"/>
            <w:tcBorders>
              <w:left w:val="single" w:sz="12" w:space="0" w:color="auto"/>
            </w:tcBorders>
            <w:shd w:val="clear" w:color="auto" w:fill="auto"/>
          </w:tcPr>
          <w:p w14:paraId="437E1B71" w14:textId="77777777" w:rsidR="00AE299D" w:rsidRDefault="00AE299D" w:rsidP="00150FE5">
            <w:r>
              <w:t>Resultaatgerichtheid en transparantie</w:t>
            </w:r>
          </w:p>
        </w:tc>
        <w:tc>
          <w:tcPr>
            <w:tcW w:w="841" w:type="dxa"/>
            <w:shd w:val="clear" w:color="auto" w:fill="auto"/>
            <w:vAlign w:val="center"/>
          </w:tcPr>
          <w:p w14:paraId="57EF8F59" w14:textId="77777777" w:rsidR="00AE299D" w:rsidRDefault="00AE299D" w:rsidP="000D5A63">
            <w:pPr>
              <w:jc w:val="center"/>
            </w:pPr>
            <w:r>
              <w:t>4</w:t>
            </w:r>
          </w:p>
        </w:tc>
        <w:tc>
          <w:tcPr>
            <w:tcW w:w="1431" w:type="dxa"/>
            <w:tcBorders>
              <w:right w:val="single" w:sz="12" w:space="0" w:color="auto"/>
            </w:tcBorders>
            <w:shd w:val="clear" w:color="auto" w:fill="auto"/>
            <w:vAlign w:val="center"/>
          </w:tcPr>
          <w:p w14:paraId="1C5B263F" w14:textId="77777777" w:rsidR="00AE299D" w:rsidRDefault="00AE299D" w:rsidP="000D5A63">
            <w:pPr>
              <w:jc w:val="center"/>
            </w:pPr>
            <w:r w:rsidRPr="00193994">
              <w:sym w:font="Wingdings" w:char="F0E9"/>
            </w:r>
          </w:p>
        </w:tc>
      </w:tr>
      <w:tr w:rsidR="00AE299D" w14:paraId="10149E49" w14:textId="77777777" w:rsidTr="00912FFF">
        <w:tc>
          <w:tcPr>
            <w:tcW w:w="5349" w:type="dxa"/>
            <w:tcBorders>
              <w:left w:val="single" w:sz="12" w:space="0" w:color="auto"/>
            </w:tcBorders>
            <w:shd w:val="clear" w:color="auto" w:fill="auto"/>
          </w:tcPr>
          <w:p w14:paraId="2BEC23ED" w14:textId="77777777" w:rsidR="00AE299D" w:rsidRDefault="00AE299D" w:rsidP="00150FE5">
            <w:r>
              <w:t>Partnerschappen en samenwerking</w:t>
            </w:r>
          </w:p>
        </w:tc>
        <w:tc>
          <w:tcPr>
            <w:tcW w:w="841" w:type="dxa"/>
            <w:shd w:val="clear" w:color="auto" w:fill="auto"/>
            <w:vAlign w:val="center"/>
          </w:tcPr>
          <w:p w14:paraId="1D2AF77E" w14:textId="77777777" w:rsidR="00AE299D" w:rsidRPr="00AE299D" w:rsidRDefault="00AE299D" w:rsidP="000D5A63">
            <w:pPr>
              <w:jc w:val="center"/>
            </w:pPr>
            <w:r w:rsidRPr="005014A1">
              <w:t>4</w:t>
            </w:r>
          </w:p>
        </w:tc>
        <w:tc>
          <w:tcPr>
            <w:tcW w:w="1431" w:type="dxa"/>
            <w:tcBorders>
              <w:right w:val="single" w:sz="12" w:space="0" w:color="auto"/>
            </w:tcBorders>
            <w:shd w:val="clear" w:color="auto" w:fill="auto"/>
            <w:vAlign w:val="center"/>
          </w:tcPr>
          <w:p w14:paraId="14655FB0" w14:textId="77777777" w:rsidR="00AE299D" w:rsidRPr="00AE299D" w:rsidRDefault="00AE299D" w:rsidP="000D5A63">
            <w:pPr>
              <w:jc w:val="center"/>
            </w:pPr>
            <w:r w:rsidRPr="005014A1">
              <w:sym w:font="Wingdings" w:char="F0E9"/>
            </w:r>
          </w:p>
        </w:tc>
      </w:tr>
      <w:tr w:rsidR="00AE299D" w14:paraId="3A50F69D" w14:textId="77777777" w:rsidTr="00912FFF">
        <w:tc>
          <w:tcPr>
            <w:tcW w:w="5349" w:type="dxa"/>
            <w:tcBorders>
              <w:left w:val="single" w:sz="12" w:space="0" w:color="auto"/>
            </w:tcBorders>
            <w:shd w:val="clear" w:color="auto" w:fill="auto"/>
          </w:tcPr>
          <w:p w14:paraId="2F02569F" w14:textId="77777777" w:rsidR="00AE299D" w:rsidRPr="00C26035" w:rsidRDefault="00AE299D" w:rsidP="00150FE5">
            <w:r>
              <w:t>Operationeel management</w:t>
            </w:r>
          </w:p>
        </w:tc>
        <w:tc>
          <w:tcPr>
            <w:tcW w:w="841" w:type="dxa"/>
            <w:shd w:val="clear" w:color="auto" w:fill="auto"/>
            <w:vAlign w:val="center"/>
          </w:tcPr>
          <w:p w14:paraId="07C1E0F8" w14:textId="32928A52" w:rsidR="00AE299D" w:rsidRPr="00AE299D" w:rsidRDefault="00AE299D" w:rsidP="000D5A63">
            <w:pPr>
              <w:jc w:val="center"/>
            </w:pPr>
            <w:r w:rsidRPr="00AE299D">
              <w:t>3</w:t>
            </w:r>
          </w:p>
        </w:tc>
        <w:tc>
          <w:tcPr>
            <w:tcW w:w="1431" w:type="dxa"/>
            <w:tcBorders>
              <w:right w:val="single" w:sz="12" w:space="0" w:color="auto"/>
            </w:tcBorders>
            <w:shd w:val="clear" w:color="auto" w:fill="auto"/>
            <w:vAlign w:val="center"/>
          </w:tcPr>
          <w:p w14:paraId="33E02DFC" w14:textId="77777777" w:rsidR="00AE299D" w:rsidRPr="00AE299D" w:rsidRDefault="00AE299D" w:rsidP="000D5A63">
            <w:pPr>
              <w:jc w:val="center"/>
            </w:pPr>
            <w:r w:rsidRPr="00AE299D">
              <w:sym w:font="Wingdings" w:char="F0E8"/>
            </w:r>
          </w:p>
        </w:tc>
      </w:tr>
      <w:tr w:rsidR="00AE299D" w14:paraId="42C06B52" w14:textId="77777777" w:rsidTr="00912FFF">
        <w:tc>
          <w:tcPr>
            <w:tcW w:w="5349" w:type="dxa"/>
            <w:tcBorders>
              <w:left w:val="single" w:sz="12" w:space="0" w:color="auto"/>
            </w:tcBorders>
            <w:shd w:val="clear" w:color="auto" w:fill="auto"/>
          </w:tcPr>
          <w:p w14:paraId="72FD5546" w14:textId="77777777" w:rsidR="00AE299D" w:rsidRPr="00C26035" w:rsidRDefault="00AE299D" w:rsidP="00150FE5">
            <w:r>
              <w:t>Beleidsevaluatie</w:t>
            </w:r>
          </w:p>
        </w:tc>
        <w:tc>
          <w:tcPr>
            <w:tcW w:w="841" w:type="dxa"/>
            <w:shd w:val="clear" w:color="auto" w:fill="auto"/>
            <w:vAlign w:val="center"/>
          </w:tcPr>
          <w:p w14:paraId="7BBD5424" w14:textId="77777777" w:rsidR="00AE299D" w:rsidRPr="005014A1" w:rsidRDefault="00AE299D" w:rsidP="000D5A63">
            <w:pPr>
              <w:jc w:val="center"/>
            </w:pPr>
            <w:r w:rsidRPr="005014A1">
              <w:t>3</w:t>
            </w:r>
          </w:p>
        </w:tc>
        <w:tc>
          <w:tcPr>
            <w:tcW w:w="1431" w:type="dxa"/>
            <w:tcBorders>
              <w:right w:val="single" w:sz="12" w:space="0" w:color="auto"/>
            </w:tcBorders>
            <w:shd w:val="clear" w:color="auto" w:fill="auto"/>
            <w:vAlign w:val="center"/>
          </w:tcPr>
          <w:p w14:paraId="2951D0B5" w14:textId="77777777" w:rsidR="00AE299D" w:rsidRPr="005014A1" w:rsidRDefault="00AE299D" w:rsidP="000D5A63">
            <w:pPr>
              <w:jc w:val="center"/>
            </w:pPr>
            <w:r w:rsidRPr="00AE299D">
              <w:sym w:font="Wingdings" w:char="F0E9"/>
            </w:r>
          </w:p>
        </w:tc>
      </w:tr>
      <w:tr w:rsidR="00AE299D" w14:paraId="58DEAA48" w14:textId="77777777" w:rsidTr="00912FFF">
        <w:tc>
          <w:tcPr>
            <w:tcW w:w="5349" w:type="dxa"/>
            <w:tcBorders>
              <w:left w:val="single" w:sz="12" w:space="0" w:color="auto"/>
            </w:tcBorders>
            <w:shd w:val="clear" w:color="auto" w:fill="auto"/>
          </w:tcPr>
          <w:p w14:paraId="7DDEB163" w14:textId="77777777" w:rsidR="00AE299D" w:rsidRPr="00C26035" w:rsidRDefault="00AE299D" w:rsidP="00150FE5">
            <w:r w:rsidRPr="00C26035">
              <w:t>Human Resource Management</w:t>
            </w:r>
          </w:p>
        </w:tc>
        <w:tc>
          <w:tcPr>
            <w:tcW w:w="841" w:type="dxa"/>
            <w:shd w:val="clear" w:color="auto" w:fill="auto"/>
            <w:vAlign w:val="center"/>
          </w:tcPr>
          <w:p w14:paraId="634819B9" w14:textId="77777777" w:rsidR="00AE299D" w:rsidRPr="005014A1" w:rsidRDefault="00AE299D" w:rsidP="000D5A63">
            <w:pPr>
              <w:jc w:val="center"/>
            </w:pPr>
            <w:r w:rsidRPr="00AE299D">
              <w:t>4</w:t>
            </w:r>
          </w:p>
        </w:tc>
        <w:tc>
          <w:tcPr>
            <w:tcW w:w="1431" w:type="dxa"/>
            <w:tcBorders>
              <w:right w:val="single" w:sz="12" w:space="0" w:color="auto"/>
            </w:tcBorders>
            <w:shd w:val="clear" w:color="auto" w:fill="auto"/>
            <w:vAlign w:val="center"/>
          </w:tcPr>
          <w:p w14:paraId="600FCAA9" w14:textId="77777777" w:rsidR="00AE299D" w:rsidRPr="005014A1" w:rsidRDefault="00AE299D" w:rsidP="000D5A63">
            <w:pPr>
              <w:jc w:val="center"/>
            </w:pPr>
            <w:r w:rsidRPr="005014A1">
              <w:sym w:font="Wingdings" w:char="F0E8"/>
            </w:r>
          </w:p>
        </w:tc>
      </w:tr>
      <w:tr w:rsidR="00AE299D" w14:paraId="2022AC81" w14:textId="77777777" w:rsidTr="00912FFF">
        <w:tc>
          <w:tcPr>
            <w:tcW w:w="5349" w:type="dxa"/>
            <w:tcBorders>
              <w:left w:val="single" w:sz="12" w:space="0" w:color="auto"/>
            </w:tcBorders>
            <w:shd w:val="clear" w:color="auto" w:fill="auto"/>
          </w:tcPr>
          <w:p w14:paraId="7761A182" w14:textId="77777777" w:rsidR="00AE299D" w:rsidRPr="00445FEE" w:rsidRDefault="00AE299D" w:rsidP="00150FE5">
            <w:r w:rsidRPr="00445FEE">
              <w:t xml:space="preserve">Financiële </w:t>
            </w:r>
            <w:r>
              <w:t>stabiliteit</w:t>
            </w:r>
          </w:p>
        </w:tc>
        <w:tc>
          <w:tcPr>
            <w:tcW w:w="841" w:type="dxa"/>
            <w:shd w:val="clear" w:color="auto" w:fill="auto"/>
            <w:vAlign w:val="center"/>
          </w:tcPr>
          <w:p w14:paraId="777E011E" w14:textId="77777777" w:rsidR="00AE299D" w:rsidRPr="005014A1" w:rsidRDefault="00AE299D" w:rsidP="000D5A63">
            <w:pPr>
              <w:jc w:val="center"/>
            </w:pPr>
            <w:r w:rsidRPr="005014A1">
              <w:t>3</w:t>
            </w:r>
          </w:p>
        </w:tc>
        <w:tc>
          <w:tcPr>
            <w:tcW w:w="1431" w:type="dxa"/>
            <w:tcBorders>
              <w:right w:val="single" w:sz="12" w:space="0" w:color="auto"/>
            </w:tcBorders>
            <w:shd w:val="clear" w:color="auto" w:fill="auto"/>
            <w:vAlign w:val="center"/>
          </w:tcPr>
          <w:p w14:paraId="37FDD6B5" w14:textId="77777777" w:rsidR="00AE299D" w:rsidRPr="005014A1" w:rsidRDefault="00AE299D" w:rsidP="000D5A63">
            <w:pPr>
              <w:jc w:val="center"/>
            </w:pPr>
            <w:r w:rsidRPr="005014A1">
              <w:sym w:font="Wingdings" w:char="F0E8"/>
            </w:r>
          </w:p>
        </w:tc>
      </w:tr>
      <w:tr w:rsidR="00AE299D" w14:paraId="10CB4877" w14:textId="77777777" w:rsidTr="00912FFF">
        <w:tc>
          <w:tcPr>
            <w:tcW w:w="5349" w:type="dxa"/>
            <w:tcBorders>
              <w:left w:val="single" w:sz="12" w:space="0" w:color="auto"/>
            </w:tcBorders>
            <w:shd w:val="clear" w:color="auto" w:fill="auto"/>
          </w:tcPr>
          <w:p w14:paraId="6454B366" w14:textId="02026B3F" w:rsidR="00AE299D" w:rsidRPr="00445FEE" w:rsidRDefault="006A7898" w:rsidP="00150FE5">
            <w:r>
              <w:t>Kostenreductie</w:t>
            </w:r>
          </w:p>
        </w:tc>
        <w:tc>
          <w:tcPr>
            <w:tcW w:w="841" w:type="dxa"/>
            <w:shd w:val="clear" w:color="auto" w:fill="auto"/>
            <w:vAlign w:val="center"/>
          </w:tcPr>
          <w:p w14:paraId="207333A3" w14:textId="77777777" w:rsidR="00AE299D" w:rsidRPr="005014A1" w:rsidRDefault="00AE299D" w:rsidP="000D5A63">
            <w:pPr>
              <w:jc w:val="center"/>
            </w:pPr>
            <w:r w:rsidRPr="005014A1">
              <w:t>3</w:t>
            </w:r>
          </w:p>
        </w:tc>
        <w:tc>
          <w:tcPr>
            <w:tcW w:w="1431" w:type="dxa"/>
            <w:tcBorders>
              <w:right w:val="single" w:sz="12" w:space="0" w:color="auto"/>
            </w:tcBorders>
            <w:shd w:val="clear" w:color="auto" w:fill="auto"/>
            <w:vAlign w:val="center"/>
          </w:tcPr>
          <w:p w14:paraId="7E90B70C" w14:textId="77777777" w:rsidR="00AE299D" w:rsidRPr="005014A1" w:rsidRDefault="00AE299D" w:rsidP="000D5A63">
            <w:pPr>
              <w:jc w:val="center"/>
            </w:pPr>
            <w:r w:rsidRPr="005014A1">
              <w:sym w:font="Wingdings" w:char="F0E8"/>
            </w:r>
          </w:p>
        </w:tc>
      </w:tr>
      <w:tr w:rsidR="00AE299D" w14:paraId="5169CF6F" w14:textId="77777777" w:rsidTr="00912FFF">
        <w:tc>
          <w:tcPr>
            <w:tcW w:w="5349" w:type="dxa"/>
            <w:tcBorders>
              <w:left w:val="single" w:sz="12" w:space="0" w:color="auto"/>
              <w:bottom w:val="single" w:sz="12" w:space="0" w:color="auto"/>
            </w:tcBorders>
            <w:shd w:val="clear" w:color="auto" w:fill="auto"/>
          </w:tcPr>
          <w:p w14:paraId="7904E37E" w14:textId="09A56073" w:rsidR="00AE299D" w:rsidRPr="00445FEE" w:rsidRDefault="00AE299D" w:rsidP="00150FE5">
            <w:r w:rsidRPr="00445FEE">
              <w:t xml:space="preserve">Corruptiebestrijding </w:t>
            </w:r>
          </w:p>
        </w:tc>
        <w:tc>
          <w:tcPr>
            <w:tcW w:w="841" w:type="dxa"/>
            <w:tcBorders>
              <w:bottom w:val="single" w:sz="12" w:space="0" w:color="auto"/>
            </w:tcBorders>
            <w:shd w:val="clear" w:color="auto" w:fill="auto"/>
            <w:vAlign w:val="center"/>
          </w:tcPr>
          <w:p w14:paraId="4B984DBC" w14:textId="77777777" w:rsidR="00AE299D" w:rsidRPr="005014A1" w:rsidRDefault="00AE299D" w:rsidP="000D5A63">
            <w:pPr>
              <w:jc w:val="center"/>
            </w:pPr>
            <w:r w:rsidRPr="005014A1">
              <w:t>3</w:t>
            </w:r>
          </w:p>
        </w:tc>
        <w:tc>
          <w:tcPr>
            <w:tcW w:w="1431" w:type="dxa"/>
            <w:tcBorders>
              <w:bottom w:val="single" w:sz="12" w:space="0" w:color="auto"/>
              <w:right w:val="single" w:sz="12" w:space="0" w:color="auto"/>
            </w:tcBorders>
            <w:shd w:val="clear" w:color="auto" w:fill="auto"/>
            <w:vAlign w:val="center"/>
          </w:tcPr>
          <w:p w14:paraId="2CEB13F8" w14:textId="77777777" w:rsidR="00AE299D" w:rsidRPr="005014A1" w:rsidRDefault="00AE299D" w:rsidP="000D5A63">
            <w:pPr>
              <w:jc w:val="center"/>
            </w:pPr>
            <w:r w:rsidRPr="00AE299D">
              <w:sym w:font="Wingdings" w:char="F0E8"/>
            </w:r>
          </w:p>
        </w:tc>
      </w:tr>
    </w:tbl>
    <w:p w14:paraId="6347B3F5" w14:textId="35DC6425" w:rsidR="00AE299D" w:rsidRDefault="00AE299D" w:rsidP="00150FE5"/>
    <w:p w14:paraId="1A1368AD" w14:textId="77777777" w:rsidR="005D1B3A" w:rsidRPr="0086627A" w:rsidRDefault="005D1B3A" w:rsidP="00150FE5">
      <w:pPr>
        <w:ind w:firstLine="227"/>
      </w:pPr>
      <w:r>
        <w:tab/>
      </w:r>
      <w:r w:rsidRPr="0086627A">
        <w:t>Beoordeling: Onvoldoende = 1, Matig = 2, Voldoende = 3, Goed = 4</w:t>
      </w:r>
    </w:p>
    <w:p w14:paraId="75A36BFE" w14:textId="77777777" w:rsidR="005D1B3A" w:rsidRPr="0086627A" w:rsidRDefault="005D1B3A" w:rsidP="00150FE5">
      <w:pPr>
        <w:ind w:left="227" w:firstLine="227"/>
      </w:pPr>
      <w:r w:rsidRPr="0086627A">
        <w:t xml:space="preserve">Verandering sinds 2015: neutraal = </w:t>
      </w:r>
      <w:r w:rsidRPr="0086627A">
        <w:sym w:font="Wingdings" w:char="F0E8"/>
      </w:r>
      <w:r w:rsidRPr="0086627A">
        <w:t xml:space="preserve">, positief = </w:t>
      </w:r>
      <w:r w:rsidRPr="0086627A">
        <w:sym w:font="Wingdings" w:char="F0E9"/>
      </w:r>
      <w:r w:rsidRPr="0086627A">
        <w:t xml:space="preserve">, negatief = </w:t>
      </w:r>
      <w:r w:rsidRPr="0086627A">
        <w:rPr>
          <w:rFonts w:ascii="Segoe UI Emoji" w:eastAsia="Segoe UI Emoji" w:hAnsi="Segoe UI Emoji" w:cs="Segoe UI Emoji"/>
          <w:b/>
          <w:noProof/>
        </w:rPr>
        <w:sym w:font="Wingdings" w:char="F0EA"/>
      </w:r>
    </w:p>
    <w:p w14:paraId="62FA9E4E" w14:textId="06AC4659" w:rsidR="005D1B3A" w:rsidRPr="00164384" w:rsidRDefault="005D1B3A" w:rsidP="00150FE5"/>
    <w:p w14:paraId="50CFA7A7" w14:textId="2B39D2C9" w:rsidR="00AE299D" w:rsidRDefault="00AE299D" w:rsidP="00150FE5">
      <w:pPr>
        <w:pStyle w:val="Heading2"/>
        <w:tabs>
          <w:tab w:val="left" w:pos="-1162"/>
          <w:tab w:val="left" w:pos="0"/>
          <w:tab w:val="num" w:pos="1160"/>
        </w:tabs>
        <w:spacing w:line="240" w:lineRule="auto"/>
        <w:ind w:hanging="1162"/>
      </w:pPr>
      <w:bookmarkStart w:id="22" w:name="_Toc410397641"/>
      <w:bookmarkStart w:id="23" w:name="_Toc491439377"/>
      <w:r>
        <w:t xml:space="preserve">1.2 </w:t>
      </w:r>
      <w:r>
        <w:tab/>
        <w:t>Beleidsrelevantie</w:t>
      </w:r>
      <w:bookmarkEnd w:id="22"/>
      <w:bookmarkEnd w:id="23"/>
    </w:p>
    <w:p w14:paraId="5A2A2D1A" w14:textId="70B00D20" w:rsidR="005D1B3A" w:rsidRDefault="00AE299D" w:rsidP="00E268B1">
      <w:r>
        <w:t xml:space="preserve">Het mandaat van ITC is zeer relevant voor de Nederlandse agenda voor hulp, handel en investeringen. Daarbij sluit ITC nauw aan bij de Nederlandse prioriteiten ten aanzien van inclusieve groei en gendergelijkheid. </w:t>
      </w:r>
    </w:p>
    <w:p w14:paraId="2CF473E5" w14:textId="1B15A50D" w:rsidR="00E268B1" w:rsidRDefault="00E268B1" w:rsidP="00E268B1"/>
    <w:p w14:paraId="2869A68F" w14:textId="18778FD4" w:rsidR="00E268B1" w:rsidRDefault="00E268B1" w:rsidP="00E268B1"/>
    <w:p w14:paraId="3DD5692B" w14:textId="75BF0464" w:rsidR="00E268B1" w:rsidRDefault="00E268B1" w:rsidP="00E268B1"/>
    <w:p w14:paraId="3C18552F" w14:textId="6A534C1C" w:rsidR="00E268B1" w:rsidRDefault="00E268B1" w:rsidP="00E268B1"/>
    <w:p w14:paraId="189BAD69" w14:textId="4AF72865" w:rsidR="00E268B1" w:rsidRDefault="00E268B1" w:rsidP="00E268B1"/>
    <w:p w14:paraId="06D57EEA" w14:textId="5FA52AF1" w:rsidR="00E268B1" w:rsidRDefault="00E268B1" w:rsidP="00E268B1"/>
    <w:p w14:paraId="5E6D5C28" w14:textId="24CD937F" w:rsidR="00E268B1" w:rsidRDefault="00E268B1" w:rsidP="00E268B1"/>
    <w:p w14:paraId="7DA03797" w14:textId="158F77AF" w:rsidR="00E268B1" w:rsidRDefault="00E268B1" w:rsidP="00E268B1"/>
    <w:p w14:paraId="3BEF25A7" w14:textId="77777777" w:rsidR="00E268B1" w:rsidRDefault="00E268B1" w:rsidP="00E268B1">
      <w:bookmarkStart w:id="24" w:name="_GoBack"/>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1905"/>
        <w:gridCol w:w="1929"/>
        <w:gridCol w:w="1900"/>
      </w:tblGrid>
      <w:tr w:rsidR="00AE299D" w14:paraId="699496D3" w14:textId="77777777" w:rsidTr="00945CB9">
        <w:tc>
          <w:tcPr>
            <w:tcW w:w="1963" w:type="dxa"/>
            <w:tcBorders>
              <w:top w:val="single" w:sz="12" w:space="0" w:color="auto"/>
              <w:left w:val="single" w:sz="12" w:space="0" w:color="auto"/>
              <w:bottom w:val="single" w:sz="12" w:space="0" w:color="auto"/>
            </w:tcBorders>
            <w:shd w:val="clear" w:color="auto" w:fill="BFBFBF" w:themeFill="background1" w:themeFillShade="BF"/>
          </w:tcPr>
          <w:p w14:paraId="1F1126D3" w14:textId="77777777" w:rsidR="00AE299D" w:rsidRDefault="00AE299D" w:rsidP="00150FE5">
            <w:pPr>
              <w:shd w:val="clear" w:color="auto" w:fill="BFBFBF" w:themeFill="background1" w:themeFillShade="BF"/>
            </w:pPr>
          </w:p>
        </w:tc>
        <w:tc>
          <w:tcPr>
            <w:tcW w:w="1905" w:type="dxa"/>
            <w:tcBorders>
              <w:top w:val="single" w:sz="12" w:space="0" w:color="auto"/>
              <w:bottom w:val="single" w:sz="12" w:space="0" w:color="auto"/>
            </w:tcBorders>
            <w:shd w:val="clear" w:color="auto" w:fill="BFBFBF" w:themeFill="background1" w:themeFillShade="BF"/>
          </w:tcPr>
          <w:p w14:paraId="700B2119" w14:textId="77777777" w:rsidR="00AE299D" w:rsidRPr="00D94DB4" w:rsidRDefault="00AE299D" w:rsidP="00150FE5">
            <w:pPr>
              <w:shd w:val="clear" w:color="auto" w:fill="BFBFBF" w:themeFill="background1" w:themeFillShade="BF"/>
              <w:rPr>
                <w:b/>
              </w:rPr>
            </w:pPr>
            <w:r w:rsidRPr="00D94DB4">
              <w:rPr>
                <w:b/>
              </w:rPr>
              <w:t>Uitvoerend</w:t>
            </w:r>
          </w:p>
        </w:tc>
        <w:tc>
          <w:tcPr>
            <w:tcW w:w="1929" w:type="dxa"/>
            <w:tcBorders>
              <w:top w:val="single" w:sz="12" w:space="0" w:color="auto"/>
              <w:bottom w:val="single" w:sz="12" w:space="0" w:color="auto"/>
            </w:tcBorders>
            <w:shd w:val="clear" w:color="auto" w:fill="BFBFBF" w:themeFill="background1" w:themeFillShade="BF"/>
          </w:tcPr>
          <w:p w14:paraId="7601C1FA" w14:textId="77777777" w:rsidR="00AE299D" w:rsidRPr="00D94DB4" w:rsidRDefault="00AE299D" w:rsidP="00150FE5">
            <w:pPr>
              <w:shd w:val="clear" w:color="auto" w:fill="BFBFBF" w:themeFill="background1" w:themeFillShade="BF"/>
              <w:rPr>
                <w:b/>
              </w:rPr>
            </w:pPr>
            <w:r w:rsidRPr="00D94DB4">
              <w:rPr>
                <w:b/>
              </w:rPr>
              <w:t>Coördinerend</w:t>
            </w:r>
          </w:p>
        </w:tc>
        <w:tc>
          <w:tcPr>
            <w:tcW w:w="1900" w:type="dxa"/>
            <w:tcBorders>
              <w:top w:val="single" w:sz="12" w:space="0" w:color="auto"/>
              <w:bottom w:val="single" w:sz="12" w:space="0" w:color="auto"/>
              <w:right w:val="single" w:sz="12" w:space="0" w:color="auto"/>
            </w:tcBorders>
            <w:shd w:val="clear" w:color="auto" w:fill="BFBFBF" w:themeFill="background1" w:themeFillShade="BF"/>
          </w:tcPr>
          <w:p w14:paraId="3C7B8470" w14:textId="77777777" w:rsidR="00AE299D" w:rsidRPr="00D94DB4" w:rsidRDefault="00AE299D" w:rsidP="00150FE5">
            <w:pPr>
              <w:shd w:val="clear" w:color="auto" w:fill="BFBFBF" w:themeFill="background1" w:themeFillShade="BF"/>
              <w:rPr>
                <w:b/>
              </w:rPr>
            </w:pPr>
            <w:r w:rsidRPr="00D94DB4">
              <w:rPr>
                <w:b/>
              </w:rPr>
              <w:t>Normatief</w:t>
            </w:r>
          </w:p>
        </w:tc>
      </w:tr>
      <w:tr w:rsidR="00AE299D" w14:paraId="6E23E50C" w14:textId="77777777" w:rsidTr="00945CB9">
        <w:tc>
          <w:tcPr>
            <w:tcW w:w="7697" w:type="dxa"/>
            <w:gridSpan w:val="4"/>
            <w:tcBorders>
              <w:top w:val="single" w:sz="12" w:space="0" w:color="auto"/>
              <w:left w:val="single" w:sz="12" w:space="0" w:color="auto"/>
              <w:right w:val="single" w:sz="12" w:space="0" w:color="auto"/>
            </w:tcBorders>
            <w:shd w:val="clear" w:color="auto" w:fill="BFBFBF" w:themeFill="background1" w:themeFillShade="BF"/>
          </w:tcPr>
          <w:p w14:paraId="046B0A34" w14:textId="77777777" w:rsidR="00AE299D" w:rsidRDefault="00AE299D" w:rsidP="00150FE5">
            <w:pPr>
              <w:shd w:val="clear" w:color="auto" w:fill="BFBFBF" w:themeFill="background1" w:themeFillShade="BF"/>
              <w:rPr>
                <w:b/>
              </w:rPr>
            </w:pPr>
          </w:p>
          <w:p w14:paraId="19730F6F" w14:textId="066439F8" w:rsidR="00AE299D" w:rsidRPr="00D94DB4" w:rsidRDefault="00AE299D" w:rsidP="00150FE5">
            <w:pPr>
              <w:shd w:val="clear" w:color="auto" w:fill="BFBFBF" w:themeFill="background1" w:themeFillShade="BF"/>
              <w:rPr>
                <w:b/>
              </w:rPr>
            </w:pPr>
            <w:r>
              <w:rPr>
                <w:b/>
              </w:rPr>
              <w:t>Relevantie voor de Nederlandse BHOS-prioriteiten</w:t>
            </w:r>
          </w:p>
        </w:tc>
      </w:tr>
      <w:tr w:rsidR="00AE299D" w14:paraId="4A25C70C" w14:textId="77777777" w:rsidTr="006A7898">
        <w:tc>
          <w:tcPr>
            <w:tcW w:w="1963" w:type="dxa"/>
            <w:tcBorders>
              <w:top w:val="single" w:sz="12" w:space="0" w:color="auto"/>
              <w:left w:val="single" w:sz="12" w:space="0" w:color="auto"/>
            </w:tcBorders>
            <w:shd w:val="clear" w:color="auto" w:fill="auto"/>
          </w:tcPr>
          <w:p w14:paraId="71279758" w14:textId="3A55F263" w:rsidR="006A7898" w:rsidRDefault="00AE299D" w:rsidP="00150FE5">
            <w:r>
              <w:t>Gendergelijkheid</w:t>
            </w:r>
          </w:p>
        </w:tc>
        <w:tc>
          <w:tcPr>
            <w:tcW w:w="1905" w:type="dxa"/>
            <w:tcBorders>
              <w:top w:val="single" w:sz="12" w:space="0" w:color="auto"/>
            </w:tcBorders>
            <w:shd w:val="clear" w:color="auto" w:fill="auto"/>
          </w:tcPr>
          <w:p w14:paraId="16E602EF" w14:textId="77777777" w:rsidR="00AE299D" w:rsidRDefault="00AE299D" w:rsidP="000D5A63">
            <w:pPr>
              <w:jc w:val="center"/>
            </w:pPr>
            <w:r>
              <w:t>4</w:t>
            </w:r>
          </w:p>
        </w:tc>
        <w:tc>
          <w:tcPr>
            <w:tcW w:w="1929" w:type="dxa"/>
            <w:tcBorders>
              <w:top w:val="single" w:sz="12" w:space="0" w:color="auto"/>
            </w:tcBorders>
            <w:shd w:val="clear" w:color="auto" w:fill="auto"/>
          </w:tcPr>
          <w:p w14:paraId="110B36F6" w14:textId="5DBA8E71" w:rsidR="00AE299D" w:rsidRDefault="00AE299D" w:rsidP="000D5A63">
            <w:pPr>
              <w:jc w:val="center"/>
            </w:pPr>
          </w:p>
        </w:tc>
        <w:tc>
          <w:tcPr>
            <w:tcW w:w="1900" w:type="dxa"/>
            <w:tcBorders>
              <w:top w:val="single" w:sz="12" w:space="0" w:color="auto"/>
              <w:right w:val="single" w:sz="12" w:space="0" w:color="auto"/>
            </w:tcBorders>
            <w:shd w:val="clear" w:color="auto" w:fill="auto"/>
          </w:tcPr>
          <w:p w14:paraId="76482E51" w14:textId="4C1784DF" w:rsidR="00AE299D" w:rsidRDefault="00AE299D" w:rsidP="000D5A63">
            <w:pPr>
              <w:jc w:val="center"/>
            </w:pPr>
          </w:p>
        </w:tc>
      </w:tr>
      <w:tr w:rsidR="00AE299D" w14:paraId="22A18A4F" w14:textId="77777777" w:rsidTr="006A7898">
        <w:tc>
          <w:tcPr>
            <w:tcW w:w="1963" w:type="dxa"/>
            <w:tcBorders>
              <w:left w:val="single" w:sz="12" w:space="0" w:color="auto"/>
              <w:bottom w:val="single" w:sz="12" w:space="0" w:color="auto"/>
            </w:tcBorders>
            <w:shd w:val="clear" w:color="auto" w:fill="auto"/>
          </w:tcPr>
          <w:p w14:paraId="13494C93" w14:textId="371941CE" w:rsidR="00AE299D" w:rsidRDefault="00AE299D" w:rsidP="00150FE5">
            <w:r>
              <w:t xml:space="preserve">Private sector </w:t>
            </w:r>
            <w:r w:rsidR="00B97409">
              <w:t>ontwikkeling</w:t>
            </w:r>
          </w:p>
        </w:tc>
        <w:tc>
          <w:tcPr>
            <w:tcW w:w="1905" w:type="dxa"/>
            <w:tcBorders>
              <w:bottom w:val="single" w:sz="12" w:space="0" w:color="auto"/>
            </w:tcBorders>
            <w:shd w:val="clear" w:color="auto" w:fill="auto"/>
          </w:tcPr>
          <w:p w14:paraId="7E0B6A35" w14:textId="77777777" w:rsidR="00AE299D" w:rsidRDefault="00AE299D" w:rsidP="000D5A63">
            <w:pPr>
              <w:jc w:val="center"/>
            </w:pPr>
            <w:r>
              <w:t>4</w:t>
            </w:r>
          </w:p>
        </w:tc>
        <w:tc>
          <w:tcPr>
            <w:tcW w:w="1929" w:type="dxa"/>
            <w:tcBorders>
              <w:bottom w:val="single" w:sz="12" w:space="0" w:color="auto"/>
            </w:tcBorders>
            <w:shd w:val="clear" w:color="auto" w:fill="auto"/>
          </w:tcPr>
          <w:p w14:paraId="16F6660C" w14:textId="77777777" w:rsidR="00AE299D" w:rsidRDefault="00AE299D" w:rsidP="000D5A63">
            <w:pPr>
              <w:jc w:val="center"/>
            </w:pPr>
            <w:r>
              <w:t>3</w:t>
            </w:r>
          </w:p>
        </w:tc>
        <w:tc>
          <w:tcPr>
            <w:tcW w:w="1900" w:type="dxa"/>
            <w:tcBorders>
              <w:bottom w:val="single" w:sz="12" w:space="0" w:color="auto"/>
              <w:right w:val="single" w:sz="12" w:space="0" w:color="auto"/>
            </w:tcBorders>
            <w:shd w:val="clear" w:color="auto" w:fill="auto"/>
          </w:tcPr>
          <w:p w14:paraId="05B59854" w14:textId="77777777" w:rsidR="00AE299D" w:rsidRDefault="00AE299D" w:rsidP="000D5A63">
            <w:pPr>
              <w:jc w:val="center"/>
            </w:pPr>
            <w:r>
              <w:t>4</w:t>
            </w:r>
          </w:p>
        </w:tc>
      </w:tr>
    </w:tbl>
    <w:p w14:paraId="40097926" w14:textId="408D24DF" w:rsidR="00AE299D" w:rsidRDefault="005D1B3A" w:rsidP="00150FE5">
      <w:r>
        <w:tab/>
      </w:r>
    </w:p>
    <w:p w14:paraId="41E2B16A" w14:textId="77777777" w:rsidR="005D1B3A" w:rsidRPr="0086627A" w:rsidRDefault="005D1B3A" w:rsidP="00150FE5">
      <w:pPr>
        <w:ind w:firstLine="227"/>
      </w:pPr>
      <w:r w:rsidRPr="0086627A">
        <w:t>Beoordeling: Onvoldoende = 1, Matig = 2, Voldoende = 3, Goed = 4</w:t>
      </w:r>
    </w:p>
    <w:p w14:paraId="01CC5D6D" w14:textId="77777777" w:rsidR="005D1B3A" w:rsidRPr="00D745A7" w:rsidRDefault="005D1B3A" w:rsidP="00150FE5"/>
    <w:p w14:paraId="75FDA448" w14:textId="67DEC769" w:rsidR="00B95FC2" w:rsidRPr="00734374" w:rsidRDefault="00712F9E" w:rsidP="00150FE5">
      <w:pPr>
        <w:pStyle w:val="Heading1"/>
        <w:tabs>
          <w:tab w:val="num" w:pos="0"/>
        </w:tabs>
        <w:spacing w:after="240" w:line="240" w:lineRule="auto"/>
        <w:ind w:hanging="1162"/>
      </w:pPr>
      <w:bookmarkStart w:id="25" w:name="_Toc491439378"/>
      <w:r>
        <w:lastRenderedPageBreak/>
        <w:t>2</w:t>
      </w:r>
      <w:r w:rsidR="00734374" w:rsidRPr="00734374">
        <w:t xml:space="preserve"> </w:t>
      </w:r>
      <w:r w:rsidR="00734374">
        <w:tab/>
      </w:r>
      <w:r w:rsidR="00AD0CCB" w:rsidRPr="00734374">
        <w:t>Inleiding</w:t>
      </w:r>
      <w:bookmarkEnd w:id="19"/>
      <w:bookmarkEnd w:id="25"/>
    </w:p>
    <w:p w14:paraId="75FDA44A" w14:textId="73097BCB" w:rsidR="005D3322" w:rsidRDefault="005150FC" w:rsidP="00150FE5">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ED179F">
        <w:rPr>
          <w:szCs w:val="18"/>
          <w:lang w:eastAsia="zh-CN"/>
        </w:rPr>
        <w:t xml:space="preserve"> (IFI’s)</w:t>
      </w:r>
      <w:r w:rsidR="003B4CB4">
        <w:rPr>
          <w:szCs w:val="18"/>
          <w:lang w:eastAsia="zh-CN"/>
        </w:rPr>
        <w:t xml:space="preserve">, </w:t>
      </w:r>
      <w:r w:rsidR="00223E42">
        <w:rPr>
          <w:szCs w:val="18"/>
          <w:lang w:eastAsia="zh-CN"/>
        </w:rPr>
        <w:t>de voor Nederlands</w:t>
      </w:r>
      <w:r w:rsidR="00ED179F">
        <w:rPr>
          <w:szCs w:val="18"/>
          <w:lang w:eastAsia="zh-CN"/>
        </w:rPr>
        <w:t xml:space="preserve"> beleid voor Buitenlandse Handel en Ontwikkelingssamenwerking (</w:t>
      </w:r>
      <w:r w:rsidR="00223E42">
        <w:rPr>
          <w:szCs w:val="18"/>
          <w:lang w:eastAsia="zh-CN"/>
        </w:rPr>
        <w:t>BHOS</w:t>
      </w:r>
      <w:r w:rsidR="00ED179F">
        <w:rPr>
          <w:szCs w:val="18"/>
          <w:lang w:eastAsia="zh-CN"/>
        </w:rPr>
        <w:t>)</w:t>
      </w:r>
      <w:r w:rsidR="00223E42">
        <w:rPr>
          <w:szCs w:val="18"/>
          <w:lang w:eastAsia="zh-CN"/>
        </w:rPr>
        <w:t xml:space="preserve"> 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ED179F">
        <w:rPr>
          <w:szCs w:val="18"/>
          <w:lang w:eastAsia="zh-CN"/>
        </w:rPr>
        <w:t>BHOS</w:t>
      </w:r>
      <w:r w:rsidR="00CF0A55">
        <w:rPr>
          <w:szCs w:val="18"/>
          <w:lang w:eastAsia="zh-CN"/>
        </w:rPr>
        <w:t>,</w:t>
      </w:r>
      <w:r w:rsidR="005D3322">
        <w:rPr>
          <w:szCs w:val="18"/>
          <w:lang w:eastAsia="zh-CN"/>
        </w:rPr>
        <w:t xml:space="preserve"> </w:t>
      </w:r>
      <w:r w:rsidR="00ED179F">
        <w:rPr>
          <w:szCs w:val="18"/>
          <w:lang w:eastAsia="zh-CN"/>
        </w:rPr>
        <w:t xml:space="preserve">en </w:t>
      </w:r>
      <w:r w:rsidR="005D3322">
        <w:rPr>
          <w:szCs w:val="18"/>
          <w:lang w:eastAsia="zh-CN"/>
        </w:rPr>
        <w:t xml:space="preserve">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75FDA44B" w14:textId="77777777" w:rsidR="005150FC" w:rsidRPr="00307981" w:rsidRDefault="005150FC" w:rsidP="00150FE5">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vierpuntsschaal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75FDA44C" w14:textId="68037534" w:rsidR="00AE299D" w:rsidRPr="00307981" w:rsidRDefault="005150FC" w:rsidP="00150FE5">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r w:rsidRPr="00AF36B0">
        <w:rPr>
          <w:i/>
          <w:szCs w:val="18"/>
          <w:lang w:eastAsia="zh-CN"/>
        </w:rPr>
        <w:t>Multilateral Organisations Performance Assessment Network</w:t>
      </w:r>
      <w:r w:rsidRPr="00307981">
        <w:rPr>
          <w:szCs w:val="18"/>
          <w:lang w:eastAsia="zh-CN"/>
        </w:rPr>
        <w:t xml:space="preserve"> (MOPAN)</w:t>
      </w:r>
      <w:r w:rsidR="00456C9B">
        <w:rPr>
          <w:szCs w:val="18"/>
          <w:lang w:eastAsia="zh-CN"/>
        </w:rPr>
        <w:t>.</w:t>
      </w:r>
      <w:r w:rsidR="00912FFF">
        <w:rPr>
          <w:rStyle w:val="FootnoteReference"/>
          <w:szCs w:val="18"/>
          <w:lang w:eastAsia="zh-CN"/>
        </w:rPr>
        <w:footnoteReference w:id="1"/>
      </w:r>
      <w:r w:rsidR="00912FFF">
        <w:rPr>
          <w:szCs w:val="18"/>
          <w:lang w:eastAsia="zh-CN"/>
        </w:rPr>
        <w:t xml:space="preserve"> </w:t>
      </w:r>
      <w:r w:rsidR="00AE299D" w:rsidRPr="00307981">
        <w:rPr>
          <w:szCs w:val="18"/>
          <w:lang w:eastAsia="zh-CN"/>
        </w:rPr>
        <w:t>Daarnaast wordt om de input gevraagd van betrokken vakdepartementen, de Permanente Vertegenwoordigingen</w:t>
      </w:r>
      <w:r w:rsidR="00AE299D">
        <w:rPr>
          <w:szCs w:val="18"/>
          <w:lang w:eastAsia="zh-CN"/>
        </w:rPr>
        <w:t xml:space="preserve"> en</w:t>
      </w:r>
      <w:r w:rsidR="00AE299D" w:rsidRPr="00307981">
        <w:rPr>
          <w:szCs w:val="18"/>
          <w:lang w:eastAsia="zh-CN"/>
        </w:rPr>
        <w:t xml:space="preserve"> Kiesgroepkantoren. Ook </w:t>
      </w:r>
      <w:r w:rsidR="00AE299D">
        <w:rPr>
          <w:szCs w:val="18"/>
          <w:lang w:eastAsia="zh-CN"/>
        </w:rPr>
        <w:t xml:space="preserve">informatie van ambassades </w:t>
      </w:r>
      <w:r w:rsidR="00AE299D" w:rsidRPr="00307981">
        <w:rPr>
          <w:szCs w:val="18"/>
          <w:lang w:eastAsia="zh-CN"/>
        </w:rPr>
        <w:t xml:space="preserve">over het functioneren van landenkantoren </w:t>
      </w:r>
      <w:r w:rsidR="00AE299D">
        <w:rPr>
          <w:szCs w:val="18"/>
          <w:lang w:eastAsia="zh-CN"/>
        </w:rPr>
        <w:t>van multilaterale instellingen zijn</w:t>
      </w:r>
      <w:r w:rsidR="00AE299D" w:rsidRPr="00307981">
        <w:rPr>
          <w:szCs w:val="18"/>
          <w:lang w:eastAsia="zh-CN"/>
        </w:rPr>
        <w:t xml:space="preserve"> in de scorecard </w:t>
      </w:r>
      <w:r w:rsidR="00AE299D">
        <w:rPr>
          <w:szCs w:val="18"/>
          <w:lang w:eastAsia="zh-CN"/>
        </w:rPr>
        <w:t>verwerkt.</w:t>
      </w:r>
      <w:r w:rsidR="00AE299D" w:rsidRPr="00307981">
        <w:rPr>
          <w:szCs w:val="18"/>
          <w:lang w:eastAsia="zh-CN"/>
        </w:rPr>
        <w:t xml:space="preserve"> </w:t>
      </w:r>
      <w:r w:rsidR="00AE299D">
        <w:rPr>
          <w:szCs w:val="18"/>
          <w:lang w:eastAsia="zh-CN"/>
        </w:rPr>
        <w:t>De s</w:t>
      </w:r>
      <w:r w:rsidR="00AE299D" w:rsidRPr="00307981">
        <w:rPr>
          <w:szCs w:val="18"/>
          <w:lang w:eastAsia="zh-CN"/>
        </w:rPr>
        <w:t xml:space="preserve">corecards </w:t>
      </w:r>
      <w:r w:rsidR="00AE299D">
        <w:rPr>
          <w:szCs w:val="18"/>
          <w:lang w:eastAsia="zh-CN"/>
        </w:rPr>
        <w:t xml:space="preserve">worden iedere twee jaar </w:t>
      </w:r>
      <w:r w:rsidR="00AE299D" w:rsidRPr="00307981">
        <w:rPr>
          <w:szCs w:val="18"/>
          <w:lang w:eastAsia="zh-CN"/>
        </w:rPr>
        <w:t>geactualiseerd</w:t>
      </w:r>
      <w:r w:rsidR="00AE299D">
        <w:rPr>
          <w:szCs w:val="18"/>
          <w:lang w:eastAsia="zh-CN"/>
        </w:rPr>
        <w:t>.</w:t>
      </w:r>
      <w:r w:rsidR="00AE299D" w:rsidRPr="00307981">
        <w:rPr>
          <w:szCs w:val="18"/>
          <w:lang w:eastAsia="zh-CN"/>
        </w:rPr>
        <w:t xml:space="preserve"> </w:t>
      </w:r>
    </w:p>
    <w:p w14:paraId="75FDA44D" w14:textId="77777777" w:rsidR="00AE299D" w:rsidRPr="00307981" w:rsidRDefault="00AE299D" w:rsidP="00150FE5"/>
    <w:p w14:paraId="75FDA44E" w14:textId="33DC95DB" w:rsidR="00AE299D" w:rsidRDefault="00712F9E" w:rsidP="00150FE5">
      <w:pPr>
        <w:pStyle w:val="Heading1"/>
        <w:tabs>
          <w:tab w:val="num" w:pos="0"/>
        </w:tabs>
        <w:spacing w:after="240" w:line="240" w:lineRule="auto"/>
        <w:ind w:hanging="1162"/>
      </w:pPr>
      <w:bookmarkStart w:id="26" w:name="_Toc491439379"/>
      <w:r>
        <w:lastRenderedPageBreak/>
        <w:t>3</w:t>
      </w:r>
      <w:r w:rsidR="00AE299D">
        <w:t xml:space="preserve"> </w:t>
      </w:r>
      <w:r w:rsidR="00AE299D">
        <w:tab/>
        <w:t>Algemene achtergrond</w:t>
      </w:r>
      <w:bookmarkEnd w:id="26"/>
    </w:p>
    <w:p w14:paraId="6BB6DB08" w14:textId="77777777" w:rsidR="00712F9E" w:rsidRPr="00712F9E" w:rsidRDefault="00712F9E" w:rsidP="00150FE5">
      <w:pPr>
        <w:pStyle w:val="ListParagraph"/>
        <w:keepNext/>
        <w:widowControl w:val="0"/>
        <w:numPr>
          <w:ilvl w:val="0"/>
          <w:numId w:val="21"/>
        </w:numPr>
        <w:tabs>
          <w:tab w:val="left" w:pos="-1162"/>
          <w:tab w:val="left" w:pos="0"/>
        </w:tabs>
        <w:spacing w:before="200" w:line="240" w:lineRule="auto"/>
        <w:outlineLvl w:val="1"/>
        <w:rPr>
          <w:rFonts w:cs="Arial"/>
          <w:b/>
          <w:iCs/>
          <w:vanish/>
          <w:kern w:val="32"/>
          <w:szCs w:val="28"/>
        </w:rPr>
      </w:pPr>
    </w:p>
    <w:p w14:paraId="7CF378A1" w14:textId="77777777" w:rsidR="00712F9E" w:rsidRPr="00712F9E" w:rsidRDefault="00712F9E" w:rsidP="00150FE5">
      <w:pPr>
        <w:pStyle w:val="ListParagraph"/>
        <w:keepNext/>
        <w:widowControl w:val="0"/>
        <w:numPr>
          <w:ilvl w:val="0"/>
          <w:numId w:val="21"/>
        </w:numPr>
        <w:tabs>
          <w:tab w:val="left" w:pos="-1162"/>
          <w:tab w:val="left" w:pos="0"/>
        </w:tabs>
        <w:spacing w:before="200" w:line="240" w:lineRule="auto"/>
        <w:outlineLvl w:val="1"/>
        <w:rPr>
          <w:rFonts w:cs="Arial"/>
          <w:b/>
          <w:iCs/>
          <w:vanish/>
          <w:kern w:val="32"/>
          <w:szCs w:val="28"/>
        </w:rPr>
      </w:pPr>
    </w:p>
    <w:p w14:paraId="75FDA450" w14:textId="770C074A" w:rsidR="00AE299D" w:rsidRPr="009C4AAC" w:rsidRDefault="00712F9E" w:rsidP="00150FE5">
      <w:pPr>
        <w:pStyle w:val="Heading2"/>
        <w:numPr>
          <w:ilvl w:val="1"/>
          <w:numId w:val="21"/>
        </w:numPr>
        <w:tabs>
          <w:tab w:val="left" w:pos="-1162"/>
          <w:tab w:val="left" w:pos="0"/>
        </w:tabs>
        <w:spacing w:line="240" w:lineRule="auto"/>
      </w:pPr>
      <w:r>
        <w:t xml:space="preserve">             </w:t>
      </w:r>
      <w:bookmarkStart w:id="27" w:name="_Toc491439380"/>
      <w:r w:rsidR="00AE299D">
        <w:t>Doelstelling en toegevoegde waarde</w:t>
      </w:r>
      <w:bookmarkEnd w:id="27"/>
    </w:p>
    <w:p w14:paraId="75FDA453" w14:textId="5BA6535D" w:rsidR="00AE299D" w:rsidRPr="0075261B" w:rsidRDefault="00AE299D" w:rsidP="00150FE5">
      <w:pPr>
        <w:rPr>
          <w:szCs w:val="18"/>
        </w:rPr>
      </w:pPr>
      <w:r>
        <w:t xml:space="preserve">Het </w:t>
      </w:r>
      <w:r w:rsidRPr="00150FE5">
        <w:rPr>
          <w:i/>
        </w:rPr>
        <w:t>International Trade Centre</w:t>
      </w:r>
      <w:r>
        <w:t xml:space="preserve"> (ITC) is een gezamenlijke dochterorganisatie van de </w:t>
      </w:r>
      <w:r w:rsidRPr="0075261B">
        <w:rPr>
          <w:szCs w:val="18"/>
        </w:rPr>
        <w:t xml:space="preserve">Wereldhandelsorganisatie (WTO) en de </w:t>
      </w:r>
      <w:r w:rsidRPr="00FB4D0B">
        <w:rPr>
          <w:i/>
          <w:szCs w:val="18"/>
        </w:rPr>
        <w:t>United Nations Conference on Trade and Development</w:t>
      </w:r>
      <w:r w:rsidRPr="0075261B">
        <w:rPr>
          <w:szCs w:val="18"/>
        </w:rPr>
        <w:t xml:space="preserve"> (UNCTAD). Het ITC komt voort uit het in 1964 </w:t>
      </w:r>
      <w:r w:rsidRPr="00150FE5">
        <w:rPr>
          <w:i/>
          <w:szCs w:val="18"/>
        </w:rPr>
        <w:t>opgerichte General Agreement on Tariffs and Trade</w:t>
      </w:r>
      <w:r>
        <w:rPr>
          <w:szCs w:val="18"/>
        </w:rPr>
        <w:t xml:space="preserve"> (</w:t>
      </w:r>
      <w:r w:rsidRPr="00ED179F">
        <w:rPr>
          <w:szCs w:val="18"/>
        </w:rPr>
        <w:t>GATT</w:t>
      </w:r>
      <w:r w:rsidR="00150FE5">
        <w:rPr>
          <w:szCs w:val="18"/>
        </w:rPr>
        <w:t>)</w:t>
      </w:r>
      <w:r w:rsidRPr="00ED179F">
        <w:rPr>
          <w:szCs w:val="18"/>
        </w:rPr>
        <w:t>. De VN sloot</w:t>
      </w:r>
      <w:r w:rsidRPr="0075261B">
        <w:rPr>
          <w:szCs w:val="18"/>
        </w:rPr>
        <w:t xml:space="preserve"> zich </w:t>
      </w:r>
      <w:r>
        <w:rPr>
          <w:szCs w:val="18"/>
        </w:rPr>
        <w:t>op</w:t>
      </w:r>
      <w:r w:rsidRPr="0075261B">
        <w:rPr>
          <w:szCs w:val="18"/>
        </w:rPr>
        <w:t xml:space="preserve"> 1 januari 1968 bij deze organisatie aan.</w:t>
      </w:r>
    </w:p>
    <w:p w14:paraId="75FDA454" w14:textId="77777777" w:rsidR="00AE299D" w:rsidRPr="0075261B" w:rsidRDefault="00AE299D" w:rsidP="00150FE5">
      <w:pPr>
        <w:rPr>
          <w:szCs w:val="18"/>
        </w:rPr>
      </w:pPr>
    </w:p>
    <w:p w14:paraId="75FDA455" w14:textId="1AE2C982" w:rsidR="00AE299D" w:rsidRPr="0075261B" w:rsidRDefault="00AE299D" w:rsidP="00150FE5">
      <w:pPr>
        <w:rPr>
          <w:szCs w:val="18"/>
        </w:rPr>
      </w:pPr>
      <w:r w:rsidRPr="0075261B">
        <w:rPr>
          <w:szCs w:val="18"/>
        </w:rPr>
        <w:t xml:space="preserve">Het mandaat van ITC is het bevorderen van economische ontwikkeling en het bijdragen aan de </w:t>
      </w:r>
      <w:r>
        <w:rPr>
          <w:szCs w:val="18"/>
        </w:rPr>
        <w:t>Duurzame Ontwikkelingsdoelen</w:t>
      </w:r>
      <w:r w:rsidRPr="0075261B">
        <w:rPr>
          <w:szCs w:val="18"/>
        </w:rPr>
        <w:t xml:space="preserve"> door het stimuleren van handel en internationaal ondernemerschap in ontwikkelings- en transitielanden</w:t>
      </w:r>
      <w:r>
        <w:rPr>
          <w:szCs w:val="18"/>
        </w:rPr>
        <w:t>.</w:t>
      </w:r>
      <w:r w:rsidR="00912FFF" w:rsidRPr="0075261B">
        <w:rPr>
          <w:rStyle w:val="FootnoteReference"/>
          <w:szCs w:val="18"/>
        </w:rPr>
        <w:footnoteReference w:id="2"/>
      </w:r>
      <w:r w:rsidR="00912FFF" w:rsidRPr="0075261B">
        <w:rPr>
          <w:szCs w:val="18"/>
        </w:rPr>
        <w:t xml:space="preserve"> </w:t>
      </w:r>
      <w:r w:rsidRPr="0075261B">
        <w:rPr>
          <w:szCs w:val="18"/>
        </w:rPr>
        <w:t xml:space="preserve">Door handel gerelateerde technische assistentie te verlenen en marktinformatie te verschaffen draagt de organisatie bij aan handel, economische groei, betere banen en </w:t>
      </w:r>
      <w:r w:rsidR="00C17C7B">
        <w:rPr>
          <w:szCs w:val="18"/>
        </w:rPr>
        <w:t>inclusieve ontwikkeling</w:t>
      </w:r>
      <w:r w:rsidRPr="0075261B">
        <w:rPr>
          <w:szCs w:val="18"/>
        </w:rPr>
        <w:t xml:space="preserve">. </w:t>
      </w:r>
    </w:p>
    <w:p w14:paraId="75FDA456" w14:textId="77777777" w:rsidR="00AE299D" w:rsidRPr="0075261B" w:rsidRDefault="00AE299D" w:rsidP="00150FE5">
      <w:pPr>
        <w:rPr>
          <w:szCs w:val="18"/>
        </w:rPr>
      </w:pPr>
    </w:p>
    <w:p w14:paraId="75FDA457" w14:textId="77777777" w:rsidR="00AE299D" w:rsidRPr="0075261B" w:rsidRDefault="00AE299D" w:rsidP="00150FE5">
      <w:pPr>
        <w:rPr>
          <w:szCs w:val="18"/>
        </w:rPr>
      </w:pPr>
      <w:r w:rsidRPr="0075261B">
        <w:rPr>
          <w:szCs w:val="18"/>
        </w:rPr>
        <w:t>Het ITC is een operationele organisatie die zich in het bijzonder richt op het midden- en kleinbedrijf</w:t>
      </w:r>
      <w:r>
        <w:rPr>
          <w:szCs w:val="18"/>
        </w:rPr>
        <w:t xml:space="preserve"> in ontwikkelingslanden</w:t>
      </w:r>
      <w:r w:rsidRPr="0075261B">
        <w:rPr>
          <w:szCs w:val="18"/>
        </w:rPr>
        <w:t xml:space="preserve">. Het is de enige </w:t>
      </w:r>
      <w:r>
        <w:rPr>
          <w:szCs w:val="18"/>
        </w:rPr>
        <w:t xml:space="preserve">multilaterale </w:t>
      </w:r>
      <w:r w:rsidRPr="0075261B">
        <w:rPr>
          <w:szCs w:val="18"/>
        </w:rPr>
        <w:t xml:space="preserve">ontwikkelingsorganisatie die dat zo expliciet doet. </w:t>
      </w:r>
    </w:p>
    <w:p w14:paraId="75FDA458" w14:textId="77777777" w:rsidR="00AE299D" w:rsidRPr="0075261B" w:rsidRDefault="00AE299D" w:rsidP="00150FE5">
      <w:pPr>
        <w:rPr>
          <w:szCs w:val="18"/>
        </w:rPr>
      </w:pPr>
    </w:p>
    <w:p w14:paraId="75FDA45A" w14:textId="738641DD" w:rsidR="00AE299D" w:rsidRPr="00712F9E" w:rsidRDefault="00712F9E" w:rsidP="00150FE5">
      <w:pPr>
        <w:pStyle w:val="Heading2"/>
        <w:numPr>
          <w:ilvl w:val="1"/>
          <w:numId w:val="21"/>
        </w:numPr>
        <w:tabs>
          <w:tab w:val="left" w:pos="-1162"/>
          <w:tab w:val="left" w:pos="0"/>
        </w:tabs>
        <w:spacing w:line="240" w:lineRule="auto"/>
        <w:rPr>
          <w:szCs w:val="18"/>
        </w:rPr>
      </w:pPr>
      <w:r w:rsidRPr="00712F9E">
        <w:rPr>
          <w:szCs w:val="18"/>
        </w:rPr>
        <w:t xml:space="preserve">             </w:t>
      </w:r>
      <w:bookmarkStart w:id="28" w:name="_Toc491439381"/>
      <w:r w:rsidR="00AE299D" w:rsidRPr="00712F9E">
        <w:rPr>
          <w:szCs w:val="18"/>
        </w:rPr>
        <w:t>Organisatie, werkwijze en activiteiten</w:t>
      </w:r>
      <w:bookmarkEnd w:id="28"/>
    </w:p>
    <w:p w14:paraId="75FDA45B" w14:textId="4734004F" w:rsidR="00AE299D" w:rsidRPr="0075261B" w:rsidRDefault="00AE299D" w:rsidP="00150FE5">
      <w:pPr>
        <w:spacing w:line="240" w:lineRule="auto"/>
        <w:rPr>
          <w:szCs w:val="18"/>
        </w:rPr>
      </w:pPr>
      <w:r w:rsidRPr="0075261B">
        <w:rPr>
          <w:szCs w:val="18"/>
        </w:rPr>
        <w:t>ITC wordt geleid door een uitvoerend directeur, mevrouw Arancha Gonz</w:t>
      </w:r>
      <w:r w:rsidR="00AF34E5">
        <w:rPr>
          <w:szCs w:val="18"/>
        </w:rPr>
        <w:t>á</w:t>
      </w:r>
      <w:r w:rsidRPr="0075261B">
        <w:rPr>
          <w:szCs w:val="18"/>
        </w:rPr>
        <w:t>lez, die aan de secretaris-generaal van UNCTAD en de directeur</w:t>
      </w:r>
      <w:r>
        <w:rPr>
          <w:szCs w:val="18"/>
        </w:rPr>
        <w:t>-</w:t>
      </w:r>
      <w:r w:rsidRPr="0075261B">
        <w:rPr>
          <w:szCs w:val="18"/>
        </w:rPr>
        <w:t xml:space="preserve">generaal van de WTO rapporteert. Het </w:t>
      </w:r>
      <w:hyperlink r:id="rId14" w:tooltip="The Senior Management Committee" w:history="1">
        <w:r w:rsidRPr="0075261B">
          <w:rPr>
            <w:szCs w:val="18"/>
          </w:rPr>
          <w:t>Senior Management Comit</w:t>
        </w:r>
      </w:hyperlink>
      <w:r w:rsidRPr="0075261B">
        <w:rPr>
          <w:szCs w:val="18"/>
        </w:rPr>
        <w:t xml:space="preserve">é bestaat uit twee </w:t>
      </w:r>
      <w:r w:rsidRPr="004B5724">
        <w:rPr>
          <w:i/>
          <w:szCs w:val="18"/>
        </w:rPr>
        <w:t>executive officers</w:t>
      </w:r>
      <w:r w:rsidRPr="0075261B">
        <w:rPr>
          <w:szCs w:val="18"/>
        </w:rPr>
        <w:t xml:space="preserve"> en de hoofden van ITC’s vier divisies. </w:t>
      </w:r>
    </w:p>
    <w:p w14:paraId="75FDA45C" w14:textId="77777777" w:rsidR="00AE299D" w:rsidRPr="0075261B" w:rsidRDefault="00AE299D" w:rsidP="00150FE5">
      <w:pPr>
        <w:spacing w:line="240" w:lineRule="auto"/>
        <w:rPr>
          <w:szCs w:val="18"/>
        </w:rPr>
      </w:pPr>
    </w:p>
    <w:p w14:paraId="75FDA45D" w14:textId="1429F93F" w:rsidR="00AE299D" w:rsidRPr="0075261B" w:rsidRDefault="00AE299D" w:rsidP="00150FE5">
      <w:pPr>
        <w:pStyle w:val="NormalWeb"/>
        <w:shd w:val="clear" w:color="auto" w:fill="FFFFFF"/>
        <w:rPr>
          <w:rFonts w:eastAsia="Calibri"/>
          <w:szCs w:val="18"/>
          <w:lang w:eastAsia="en-US"/>
        </w:rPr>
      </w:pPr>
      <w:r w:rsidRPr="0075261B">
        <w:rPr>
          <w:rFonts w:eastAsia="Calibri"/>
          <w:szCs w:val="18"/>
          <w:lang w:eastAsia="en-US"/>
        </w:rPr>
        <w:t xml:space="preserve">De </w:t>
      </w:r>
      <w:r w:rsidRPr="0075261B">
        <w:rPr>
          <w:rFonts w:eastAsia="Calibri"/>
          <w:i/>
          <w:szCs w:val="18"/>
          <w:lang w:eastAsia="en-US"/>
        </w:rPr>
        <w:t>Joint Advisory Group</w:t>
      </w:r>
      <w:r w:rsidRPr="0075261B">
        <w:rPr>
          <w:rFonts w:eastAsia="Calibri"/>
          <w:szCs w:val="18"/>
          <w:lang w:eastAsia="en-US"/>
        </w:rPr>
        <w:t xml:space="preserve"> (JAG) is het hoogste bestuursorgaan van ITC en bestaat uit vertegenwoordigers van lidstaten van UNCTAD en de WTO en staat open voor gespecialiseerde VN-instellingen en andere intergouvernementele organisaties met waarnemersstatus. De JAG komt jaarlijks bijeen en doet aanbevelingen aan de UNCTAD </w:t>
      </w:r>
      <w:r w:rsidRPr="004B5724">
        <w:rPr>
          <w:rFonts w:eastAsia="Calibri"/>
          <w:i/>
          <w:szCs w:val="18"/>
          <w:lang w:eastAsia="en-US"/>
        </w:rPr>
        <w:t>Trade and Development Board</w:t>
      </w:r>
      <w:r w:rsidRPr="0075261B">
        <w:rPr>
          <w:rFonts w:eastAsia="Calibri"/>
          <w:szCs w:val="18"/>
          <w:lang w:eastAsia="en-US"/>
        </w:rPr>
        <w:t xml:space="preserve"> en de </w:t>
      </w:r>
      <w:r w:rsidRPr="004B5724">
        <w:rPr>
          <w:rFonts w:eastAsia="Calibri"/>
          <w:i/>
          <w:szCs w:val="18"/>
          <w:lang w:eastAsia="en-US"/>
        </w:rPr>
        <w:t>General Council</w:t>
      </w:r>
      <w:r w:rsidRPr="0075261B">
        <w:rPr>
          <w:rFonts w:eastAsia="Calibri"/>
          <w:szCs w:val="18"/>
          <w:lang w:eastAsia="en-US"/>
        </w:rPr>
        <w:t xml:space="preserve"> van de WTO - de hoogste bestuursorganen van deze organisaties.</w:t>
      </w:r>
    </w:p>
    <w:p w14:paraId="75FDA45E" w14:textId="77777777" w:rsidR="00AE299D" w:rsidRPr="0075261B" w:rsidRDefault="00AE299D" w:rsidP="00150FE5">
      <w:pPr>
        <w:pStyle w:val="NormalWeb"/>
        <w:shd w:val="clear" w:color="auto" w:fill="FFFFFF"/>
        <w:rPr>
          <w:rFonts w:eastAsia="Calibri"/>
          <w:szCs w:val="18"/>
          <w:lang w:eastAsia="en-US"/>
        </w:rPr>
      </w:pPr>
    </w:p>
    <w:p w14:paraId="75FDA45F" w14:textId="033BD09A" w:rsidR="00AE299D" w:rsidRPr="0075261B" w:rsidRDefault="00AE299D" w:rsidP="00150FE5">
      <w:pPr>
        <w:pStyle w:val="NormalWeb"/>
        <w:shd w:val="clear" w:color="auto" w:fill="FFFFFF"/>
        <w:rPr>
          <w:rFonts w:eastAsia="Calibri"/>
          <w:szCs w:val="18"/>
          <w:lang w:eastAsia="en-US"/>
        </w:rPr>
      </w:pPr>
      <w:r w:rsidRPr="0075261B">
        <w:rPr>
          <w:rFonts w:eastAsia="Calibri"/>
          <w:szCs w:val="18"/>
          <w:lang w:eastAsia="en-US"/>
        </w:rPr>
        <w:t xml:space="preserve">Het </w:t>
      </w:r>
      <w:r w:rsidRPr="0075261B">
        <w:rPr>
          <w:rFonts w:eastAsia="Calibri"/>
          <w:i/>
          <w:szCs w:val="18"/>
          <w:lang w:eastAsia="en-US"/>
        </w:rPr>
        <w:t>Consultative Committee on the ITC Trust Fund</w:t>
      </w:r>
      <w:r w:rsidRPr="0075261B">
        <w:rPr>
          <w:rFonts w:eastAsia="Calibri"/>
          <w:szCs w:val="18"/>
          <w:lang w:eastAsia="en-US"/>
        </w:rPr>
        <w:t xml:space="preserve"> (CCITF)</w:t>
      </w:r>
      <w:r w:rsidR="00150FE5" w:rsidRPr="0075261B">
        <w:rPr>
          <w:rFonts w:eastAsia="Calibri"/>
          <w:szCs w:val="18"/>
          <w:lang w:eastAsia="en-US"/>
        </w:rPr>
        <w:t xml:space="preserve"> </w:t>
      </w:r>
      <w:r w:rsidRPr="0075261B">
        <w:rPr>
          <w:rFonts w:eastAsia="Calibri"/>
          <w:szCs w:val="18"/>
          <w:lang w:eastAsia="en-US"/>
        </w:rPr>
        <w:t>dat twee keer per jaar bij elkaar komt</w:t>
      </w:r>
      <w:r>
        <w:rPr>
          <w:rFonts w:eastAsia="Calibri"/>
          <w:szCs w:val="18"/>
          <w:lang w:eastAsia="en-US"/>
        </w:rPr>
        <w:t>,</w:t>
      </w:r>
      <w:r w:rsidRPr="0075261B">
        <w:rPr>
          <w:rFonts w:eastAsia="Calibri"/>
          <w:szCs w:val="18"/>
          <w:lang w:eastAsia="en-US"/>
        </w:rPr>
        <w:t xml:space="preserve"> houdt toezicht op de aanwending van de vrijwillige bijdragen. Ook </w:t>
      </w:r>
      <w:r>
        <w:rPr>
          <w:rFonts w:eastAsia="Calibri"/>
          <w:szCs w:val="18"/>
          <w:lang w:eastAsia="en-US"/>
        </w:rPr>
        <w:t>draagt</w:t>
      </w:r>
      <w:r w:rsidRPr="0075261B">
        <w:rPr>
          <w:rFonts w:eastAsia="Calibri"/>
          <w:szCs w:val="18"/>
          <w:lang w:eastAsia="en-US"/>
        </w:rPr>
        <w:t xml:space="preserve"> het CCITF </w:t>
      </w:r>
      <w:r>
        <w:rPr>
          <w:rFonts w:eastAsia="Calibri"/>
          <w:szCs w:val="18"/>
          <w:lang w:eastAsia="en-US"/>
        </w:rPr>
        <w:t xml:space="preserve">bij aan toezicht op </w:t>
      </w:r>
      <w:r w:rsidRPr="0075261B">
        <w:rPr>
          <w:rFonts w:eastAsia="Calibri"/>
          <w:szCs w:val="18"/>
          <w:lang w:eastAsia="en-US"/>
        </w:rPr>
        <w:t>de voortgang van projectimplementatie en op monitoring en evaluatie. In de CCITF hebben zowel donoren als begunstigden zitting. Het CCITF d</w:t>
      </w:r>
      <w:r>
        <w:rPr>
          <w:rFonts w:eastAsia="Calibri"/>
          <w:szCs w:val="18"/>
          <w:lang w:eastAsia="en-US"/>
        </w:rPr>
        <w:t>oet, in samenspraak met het ITC-</w:t>
      </w:r>
      <w:r w:rsidRPr="0075261B">
        <w:rPr>
          <w:rFonts w:eastAsia="Calibri"/>
          <w:szCs w:val="18"/>
          <w:lang w:eastAsia="en-US"/>
        </w:rPr>
        <w:t xml:space="preserve">management, aanbevelingen aan de JAG. </w:t>
      </w:r>
    </w:p>
    <w:p w14:paraId="75FDA460" w14:textId="77777777" w:rsidR="00AE299D" w:rsidRPr="0075261B" w:rsidRDefault="00AE299D" w:rsidP="00150FE5">
      <w:pPr>
        <w:pStyle w:val="NormalWeb"/>
        <w:shd w:val="clear" w:color="auto" w:fill="FFFFFF"/>
        <w:rPr>
          <w:rFonts w:eastAsia="Calibri"/>
          <w:szCs w:val="18"/>
          <w:lang w:eastAsia="en-US"/>
        </w:rPr>
      </w:pPr>
    </w:p>
    <w:p w14:paraId="75FDA461" w14:textId="2134C18E" w:rsidR="00AE299D" w:rsidRPr="0075261B" w:rsidRDefault="00AE299D" w:rsidP="00150FE5">
      <w:pPr>
        <w:spacing w:line="240" w:lineRule="auto"/>
        <w:rPr>
          <w:szCs w:val="18"/>
        </w:rPr>
      </w:pPr>
      <w:r w:rsidRPr="0075261B">
        <w:rPr>
          <w:szCs w:val="18"/>
        </w:rPr>
        <w:t>ITC heeft een nieuwe organisatiestructuur die is aangepast aan de zes focusgebieden</w:t>
      </w:r>
      <w:r>
        <w:rPr>
          <w:szCs w:val="18"/>
        </w:rPr>
        <w:t xml:space="preserve"> (zie paragraaf 3.1).</w:t>
      </w:r>
      <w:r w:rsidRPr="0075261B">
        <w:rPr>
          <w:szCs w:val="18"/>
        </w:rPr>
        <w:t xml:space="preserve"> Ook heeft ITC nieuwe “</w:t>
      </w:r>
      <w:r w:rsidRPr="00150FE5">
        <w:rPr>
          <w:i/>
          <w:szCs w:val="18"/>
        </w:rPr>
        <w:t>Rules of engagement</w:t>
      </w:r>
      <w:r w:rsidRPr="0075261B">
        <w:rPr>
          <w:szCs w:val="18"/>
        </w:rPr>
        <w:t xml:space="preserve">” opgesteld teneinde processen en projectimplementatie te vereenvoudigen. </w:t>
      </w:r>
    </w:p>
    <w:p w14:paraId="75FDA462" w14:textId="77777777" w:rsidR="00AE299D" w:rsidRPr="0075261B" w:rsidRDefault="00AE299D" w:rsidP="00150FE5">
      <w:pPr>
        <w:pStyle w:val="NormalWeb"/>
        <w:shd w:val="clear" w:color="auto" w:fill="FFFFFF"/>
        <w:rPr>
          <w:rFonts w:eastAsia="Calibri"/>
          <w:szCs w:val="18"/>
          <w:lang w:eastAsia="en-US"/>
        </w:rPr>
      </w:pPr>
    </w:p>
    <w:p w14:paraId="75FDA463" w14:textId="77777777" w:rsidR="00AE299D" w:rsidRPr="0075261B" w:rsidRDefault="00AE299D" w:rsidP="00150FE5">
      <w:pPr>
        <w:pStyle w:val="NormalWeb"/>
        <w:shd w:val="clear" w:color="auto" w:fill="FFFFFF"/>
        <w:rPr>
          <w:rFonts w:eastAsia="Calibri"/>
          <w:szCs w:val="18"/>
          <w:lang w:eastAsia="en-US"/>
        </w:rPr>
      </w:pPr>
      <w:r w:rsidRPr="0075261B">
        <w:rPr>
          <w:rFonts w:eastAsia="Calibri"/>
          <w:szCs w:val="18"/>
          <w:lang w:eastAsia="en-US"/>
        </w:rPr>
        <w:t xml:space="preserve">ITC is in Genève gevestigd en heeft een regionaal kantoor in New York, en een in Addis Ababa. </w:t>
      </w:r>
    </w:p>
    <w:p w14:paraId="75FDA464" w14:textId="77777777" w:rsidR="00AE299D" w:rsidRPr="0075261B" w:rsidRDefault="00AE299D" w:rsidP="00150FE5">
      <w:pPr>
        <w:rPr>
          <w:szCs w:val="18"/>
        </w:rPr>
      </w:pPr>
    </w:p>
    <w:p w14:paraId="1039E839" w14:textId="77777777" w:rsidR="00811A33" w:rsidRDefault="00811A33" w:rsidP="00150FE5">
      <w:pPr>
        <w:spacing w:line="240" w:lineRule="auto"/>
        <w:rPr>
          <w:szCs w:val="18"/>
        </w:rPr>
      </w:pPr>
      <w:r>
        <w:rPr>
          <w:szCs w:val="18"/>
        </w:rPr>
        <w:br w:type="page"/>
      </w:r>
    </w:p>
    <w:p w14:paraId="75FDA465" w14:textId="03AC9E19" w:rsidR="00AE299D" w:rsidRPr="0075261B" w:rsidRDefault="00AE299D" w:rsidP="00150FE5">
      <w:pPr>
        <w:rPr>
          <w:szCs w:val="18"/>
        </w:rPr>
      </w:pPr>
      <w:r w:rsidRPr="0075261B">
        <w:rPr>
          <w:szCs w:val="18"/>
        </w:rPr>
        <w:lastRenderedPageBreak/>
        <w:t xml:space="preserve">ITC heeft drie strategische doelstellingen: </w:t>
      </w:r>
    </w:p>
    <w:p w14:paraId="75FDA466" w14:textId="77777777" w:rsidR="00AE299D" w:rsidRPr="0075261B" w:rsidRDefault="00AE299D" w:rsidP="00150FE5">
      <w:pPr>
        <w:numPr>
          <w:ilvl w:val="0"/>
          <w:numId w:val="41"/>
        </w:numPr>
        <w:rPr>
          <w:szCs w:val="18"/>
        </w:rPr>
      </w:pPr>
      <w:r w:rsidRPr="0075261B">
        <w:rPr>
          <w:szCs w:val="18"/>
        </w:rPr>
        <w:t>versterkte integratie van bedrijven in de wereldeconomie;</w:t>
      </w:r>
    </w:p>
    <w:p w14:paraId="75FDA467" w14:textId="77777777" w:rsidR="00AE299D" w:rsidRPr="0075261B" w:rsidRDefault="00AE299D" w:rsidP="00150FE5">
      <w:pPr>
        <w:numPr>
          <w:ilvl w:val="0"/>
          <w:numId w:val="41"/>
        </w:numPr>
        <w:rPr>
          <w:szCs w:val="18"/>
        </w:rPr>
      </w:pPr>
      <w:r w:rsidRPr="0075261B">
        <w:rPr>
          <w:szCs w:val="18"/>
        </w:rPr>
        <w:t>verbeterde dienstverlening aan micro, midden en kleinbedrijven</w:t>
      </w:r>
      <w:r>
        <w:rPr>
          <w:szCs w:val="18"/>
        </w:rPr>
        <w:t xml:space="preserve"> (MKB)</w:t>
      </w:r>
      <w:r w:rsidRPr="0075261B">
        <w:rPr>
          <w:szCs w:val="18"/>
        </w:rPr>
        <w:t xml:space="preserve"> door handel- en investeringen-ondersteunende instellingen;</w:t>
      </w:r>
    </w:p>
    <w:p w14:paraId="75FDA468" w14:textId="496569D9" w:rsidR="00AE299D" w:rsidRPr="0075261B" w:rsidRDefault="00AE299D" w:rsidP="00150FE5">
      <w:pPr>
        <w:numPr>
          <w:ilvl w:val="0"/>
          <w:numId w:val="41"/>
        </w:numPr>
        <w:rPr>
          <w:szCs w:val="18"/>
        </w:rPr>
      </w:pPr>
      <w:r w:rsidRPr="0075261B">
        <w:rPr>
          <w:szCs w:val="18"/>
        </w:rPr>
        <w:t>Toegenomen concurrentiekracht van micro, midden en kleinbedrijven</w:t>
      </w:r>
      <w:r>
        <w:rPr>
          <w:szCs w:val="18"/>
        </w:rPr>
        <w:t>.</w:t>
      </w:r>
    </w:p>
    <w:p w14:paraId="75FDA469" w14:textId="77777777" w:rsidR="00AE299D" w:rsidRDefault="00AE299D" w:rsidP="00150FE5">
      <w:pPr>
        <w:rPr>
          <w:szCs w:val="18"/>
        </w:rPr>
      </w:pPr>
    </w:p>
    <w:p w14:paraId="75FDA46A" w14:textId="05616D99" w:rsidR="00AE299D" w:rsidRPr="0075261B" w:rsidRDefault="00AE299D" w:rsidP="00150FE5">
      <w:pPr>
        <w:rPr>
          <w:szCs w:val="18"/>
        </w:rPr>
      </w:pPr>
      <w:r w:rsidRPr="0075261B">
        <w:rPr>
          <w:szCs w:val="18"/>
        </w:rPr>
        <w:t>Daarbij richt het zich voornamelijk op minst ontwikkelde landen, binnen</w:t>
      </w:r>
      <w:r w:rsidR="00F6424A">
        <w:rPr>
          <w:szCs w:val="18"/>
        </w:rPr>
        <w:t>-</w:t>
      </w:r>
      <w:r w:rsidRPr="0075261B">
        <w:rPr>
          <w:szCs w:val="18"/>
        </w:rPr>
        <w:t>staten, kleine eilandstaten in ontwikkeling</w:t>
      </w:r>
      <w:r>
        <w:rPr>
          <w:szCs w:val="18"/>
        </w:rPr>
        <w:t>,</w:t>
      </w:r>
      <w:r w:rsidRPr="0075261B">
        <w:rPr>
          <w:szCs w:val="18"/>
        </w:rPr>
        <w:t xml:space="preserve"> en sub-Sahara Afrika. 80% van het technische assistentie budget wordt aan landen uit deze categorieën besteed. </w:t>
      </w:r>
      <w:r>
        <w:rPr>
          <w:szCs w:val="18"/>
        </w:rPr>
        <w:t>Daarnaast</w:t>
      </w:r>
      <w:r w:rsidRPr="0075261B">
        <w:rPr>
          <w:szCs w:val="18"/>
        </w:rPr>
        <w:t xml:space="preserve"> </w:t>
      </w:r>
      <w:r>
        <w:rPr>
          <w:szCs w:val="18"/>
        </w:rPr>
        <w:t>besteden</w:t>
      </w:r>
      <w:r w:rsidRPr="0075261B">
        <w:rPr>
          <w:szCs w:val="18"/>
        </w:rPr>
        <w:t xml:space="preserve"> het Strategisch Plan 2015-2017 en het tweejarenprogramma 2016-2017 </w:t>
      </w:r>
      <w:r>
        <w:rPr>
          <w:szCs w:val="18"/>
        </w:rPr>
        <w:t>aandacht aan</w:t>
      </w:r>
      <w:r w:rsidRPr="0075261B">
        <w:rPr>
          <w:szCs w:val="18"/>
        </w:rPr>
        <w:t xml:space="preserve"> conflictgebieden en kleine kwetsbare economieën.</w:t>
      </w:r>
    </w:p>
    <w:p w14:paraId="75FDA46B" w14:textId="77777777" w:rsidR="00AE299D" w:rsidRPr="0075261B" w:rsidRDefault="00AE299D" w:rsidP="00150FE5">
      <w:pPr>
        <w:rPr>
          <w:szCs w:val="18"/>
        </w:rPr>
      </w:pPr>
    </w:p>
    <w:p w14:paraId="75FDA46C" w14:textId="77777777" w:rsidR="00AE299D" w:rsidRPr="0075261B" w:rsidRDefault="00AE299D" w:rsidP="00150FE5">
      <w:pPr>
        <w:rPr>
          <w:szCs w:val="18"/>
        </w:rPr>
      </w:pPr>
      <w:r w:rsidRPr="0075261B">
        <w:rPr>
          <w:szCs w:val="18"/>
        </w:rPr>
        <w:t>ITC richt zich zowel op beleidsmakers, als op handel- en investeringen-ondersteunende instelling en het MKB. ITC ondersteunt regionale (handels)integratie en zet sterk in op inclusiviteit door zich te richten op vrouwe</w:t>
      </w:r>
      <w:r>
        <w:rPr>
          <w:szCs w:val="18"/>
        </w:rPr>
        <w:t xml:space="preserve">n in </w:t>
      </w:r>
      <w:r w:rsidRPr="0075261B">
        <w:rPr>
          <w:szCs w:val="18"/>
        </w:rPr>
        <w:t xml:space="preserve">handel en de ontwikkeling van internationaal ondernemerschap. </w:t>
      </w:r>
    </w:p>
    <w:p w14:paraId="75FDA46D" w14:textId="77777777" w:rsidR="00AE299D" w:rsidRPr="0075261B" w:rsidRDefault="00AE299D" w:rsidP="00150FE5">
      <w:pPr>
        <w:rPr>
          <w:szCs w:val="18"/>
        </w:rPr>
      </w:pPr>
    </w:p>
    <w:p w14:paraId="75FDA46E" w14:textId="2B151DAB" w:rsidR="00AE299D" w:rsidRPr="0075261B" w:rsidRDefault="00AE299D" w:rsidP="00150FE5">
      <w:pPr>
        <w:rPr>
          <w:szCs w:val="18"/>
        </w:rPr>
      </w:pPr>
      <w:r w:rsidRPr="0075261B">
        <w:rPr>
          <w:szCs w:val="18"/>
        </w:rPr>
        <w:t xml:space="preserve">In 2014-2015 is een interne en een externe evaluatie van ITC uitgevoerd. </w:t>
      </w:r>
      <w:r w:rsidR="004C0F60">
        <w:rPr>
          <w:szCs w:val="18"/>
        </w:rPr>
        <w:t xml:space="preserve">De evaluatie </w:t>
      </w:r>
      <w:r w:rsidRPr="0075261B">
        <w:rPr>
          <w:szCs w:val="18"/>
        </w:rPr>
        <w:t>constateerde dat ITC waardevolle diensten leverde die relevant en effectief waren, en redelijk efficiënt. De strategische aanbevelingen van de externe evaluator waren:</w:t>
      </w:r>
    </w:p>
    <w:p w14:paraId="75FDA46F" w14:textId="77777777" w:rsidR="00AE299D" w:rsidRPr="0075261B" w:rsidRDefault="00AE299D" w:rsidP="00150FE5">
      <w:pPr>
        <w:numPr>
          <w:ilvl w:val="0"/>
          <w:numId w:val="42"/>
        </w:numPr>
        <w:spacing w:before="100" w:beforeAutospacing="1" w:after="100" w:afterAutospacing="1" w:line="240" w:lineRule="auto"/>
        <w:rPr>
          <w:szCs w:val="18"/>
        </w:rPr>
      </w:pPr>
      <w:r w:rsidRPr="0075261B">
        <w:rPr>
          <w:szCs w:val="18"/>
        </w:rPr>
        <w:t xml:space="preserve">strategischer inzet van ITC voor de mondiale </w:t>
      </w:r>
      <w:r w:rsidRPr="00AE299D">
        <w:rPr>
          <w:i/>
          <w:szCs w:val="18"/>
        </w:rPr>
        <w:t>Aid for Trade</w:t>
      </w:r>
      <w:r w:rsidRPr="0075261B">
        <w:rPr>
          <w:szCs w:val="18"/>
        </w:rPr>
        <w:t xml:space="preserve">-inspanningen; </w:t>
      </w:r>
    </w:p>
    <w:p w14:paraId="75FDA470" w14:textId="2343CB04" w:rsidR="00AE299D" w:rsidRPr="0075261B" w:rsidRDefault="00F6424A" w:rsidP="00150FE5">
      <w:pPr>
        <w:numPr>
          <w:ilvl w:val="0"/>
          <w:numId w:val="42"/>
        </w:numPr>
        <w:spacing w:before="100" w:beforeAutospacing="1" w:after="100" w:afterAutospacing="1" w:line="240" w:lineRule="auto"/>
        <w:rPr>
          <w:szCs w:val="18"/>
        </w:rPr>
      </w:pPr>
      <w:r>
        <w:rPr>
          <w:szCs w:val="18"/>
        </w:rPr>
        <w:t>O</w:t>
      </w:r>
      <w:r w:rsidRPr="0075261B">
        <w:rPr>
          <w:szCs w:val="18"/>
        </w:rPr>
        <w:t>ntwikkel</w:t>
      </w:r>
      <w:r>
        <w:rPr>
          <w:szCs w:val="18"/>
        </w:rPr>
        <w:t>ing</w:t>
      </w:r>
      <w:r w:rsidR="00AE299D" w:rsidRPr="0075261B">
        <w:rPr>
          <w:szCs w:val="18"/>
        </w:rPr>
        <w:t xml:space="preserve"> ITC’s sterkste punten: samenwerking met de private sector en het verlenen van technische assistentie;</w:t>
      </w:r>
    </w:p>
    <w:p w14:paraId="75FDA471" w14:textId="77777777" w:rsidR="00AE299D" w:rsidRPr="0075261B" w:rsidRDefault="00AE299D" w:rsidP="00150FE5">
      <w:pPr>
        <w:numPr>
          <w:ilvl w:val="0"/>
          <w:numId w:val="42"/>
        </w:numPr>
        <w:spacing w:before="100" w:beforeAutospacing="1" w:after="100" w:afterAutospacing="1" w:line="240" w:lineRule="auto"/>
        <w:rPr>
          <w:szCs w:val="18"/>
        </w:rPr>
      </w:pPr>
      <w:r w:rsidRPr="0075261B">
        <w:rPr>
          <w:szCs w:val="18"/>
        </w:rPr>
        <w:t>Op pragmatisch</w:t>
      </w:r>
      <w:r>
        <w:rPr>
          <w:szCs w:val="18"/>
        </w:rPr>
        <w:t>e</w:t>
      </w:r>
      <w:r w:rsidRPr="0075261B">
        <w:rPr>
          <w:szCs w:val="18"/>
        </w:rPr>
        <w:t xml:space="preserve"> wijze de aansturing van de organisatie versterken en ook verantwoording versterken; </w:t>
      </w:r>
    </w:p>
    <w:p w14:paraId="75FDA472" w14:textId="77777777" w:rsidR="00AE299D" w:rsidRPr="0090555C" w:rsidRDefault="00AE299D" w:rsidP="00150FE5">
      <w:pPr>
        <w:numPr>
          <w:ilvl w:val="0"/>
          <w:numId w:val="42"/>
        </w:numPr>
        <w:spacing w:before="100" w:beforeAutospacing="1" w:after="100" w:afterAutospacing="1" w:line="240" w:lineRule="auto"/>
        <w:rPr>
          <w:szCs w:val="18"/>
        </w:rPr>
      </w:pPr>
      <w:r w:rsidRPr="0075261B">
        <w:rPr>
          <w:szCs w:val="18"/>
        </w:rPr>
        <w:t xml:space="preserve">Zichtbaarheid, betrokkenheid en effectiviteit op het gebied van </w:t>
      </w:r>
      <w:r w:rsidRPr="00AE299D">
        <w:rPr>
          <w:i/>
          <w:szCs w:val="18"/>
        </w:rPr>
        <w:t>Aid for Trade</w:t>
      </w:r>
      <w:r w:rsidRPr="0075261B">
        <w:rPr>
          <w:szCs w:val="18"/>
        </w:rPr>
        <w:t xml:space="preserve"> nog verder verhogen.</w:t>
      </w:r>
    </w:p>
    <w:p w14:paraId="75FDA473" w14:textId="09ABE8DF" w:rsidR="00AE299D" w:rsidRPr="0075261B" w:rsidRDefault="00AE299D" w:rsidP="00150FE5">
      <w:pPr>
        <w:spacing w:before="100" w:beforeAutospacing="1" w:after="100" w:afterAutospacing="1" w:line="240" w:lineRule="auto"/>
        <w:rPr>
          <w:szCs w:val="18"/>
        </w:rPr>
      </w:pPr>
      <w:r w:rsidRPr="0075261B">
        <w:rPr>
          <w:szCs w:val="18"/>
        </w:rPr>
        <w:t>De aanbeveling</w:t>
      </w:r>
      <w:r>
        <w:rPr>
          <w:szCs w:val="18"/>
        </w:rPr>
        <w:t>en</w:t>
      </w:r>
      <w:r w:rsidRPr="0075261B">
        <w:rPr>
          <w:szCs w:val="18"/>
        </w:rPr>
        <w:t xml:space="preserve"> van de VN-interne evaluatie door de </w:t>
      </w:r>
      <w:r w:rsidRPr="004B5724">
        <w:rPr>
          <w:i/>
          <w:szCs w:val="18"/>
        </w:rPr>
        <w:t xml:space="preserve">Office of Internal Oversight Services </w:t>
      </w:r>
      <w:r w:rsidRPr="0075261B">
        <w:rPr>
          <w:szCs w:val="18"/>
        </w:rPr>
        <w:t>(OIOS</w:t>
      </w:r>
      <w:r w:rsidR="00912FFF">
        <w:rPr>
          <w:rStyle w:val="FootnoteReference"/>
          <w:szCs w:val="18"/>
        </w:rPr>
        <w:footnoteReference w:id="3"/>
      </w:r>
      <w:r w:rsidR="00912FFF" w:rsidRPr="0075261B">
        <w:rPr>
          <w:szCs w:val="18"/>
        </w:rPr>
        <w:t>)</w:t>
      </w:r>
      <w:r w:rsidRPr="0075261B">
        <w:rPr>
          <w:szCs w:val="18"/>
        </w:rPr>
        <w:t xml:space="preserve"> waren: </w:t>
      </w:r>
    </w:p>
    <w:p w14:paraId="75FDA474" w14:textId="77777777" w:rsidR="00AE299D" w:rsidRPr="0075261B" w:rsidRDefault="00AE299D" w:rsidP="00150FE5">
      <w:pPr>
        <w:numPr>
          <w:ilvl w:val="0"/>
          <w:numId w:val="44"/>
        </w:numPr>
        <w:spacing w:before="100" w:beforeAutospacing="1" w:after="100" w:afterAutospacing="1" w:line="240" w:lineRule="auto"/>
        <w:rPr>
          <w:szCs w:val="18"/>
        </w:rPr>
      </w:pPr>
      <w:r>
        <w:rPr>
          <w:szCs w:val="18"/>
        </w:rPr>
        <w:t xml:space="preserve">Houd </w:t>
      </w:r>
      <w:r w:rsidRPr="0075261B">
        <w:rPr>
          <w:szCs w:val="18"/>
        </w:rPr>
        <w:t>regelmatig toezicht op de implementatie van de aanbevelingen van beide evaluaties, en rapporte</w:t>
      </w:r>
      <w:r>
        <w:rPr>
          <w:szCs w:val="18"/>
        </w:rPr>
        <w:t>er</w:t>
      </w:r>
      <w:r w:rsidRPr="0075261B">
        <w:rPr>
          <w:szCs w:val="18"/>
        </w:rPr>
        <w:t xml:space="preserve"> hierover aan de JAG. </w:t>
      </w:r>
    </w:p>
    <w:p w14:paraId="75FDA475" w14:textId="77777777" w:rsidR="00AE299D" w:rsidRPr="0075261B" w:rsidRDefault="00AE299D" w:rsidP="00150FE5">
      <w:pPr>
        <w:numPr>
          <w:ilvl w:val="0"/>
          <w:numId w:val="44"/>
        </w:numPr>
        <w:spacing w:before="100" w:beforeAutospacing="1" w:after="100" w:afterAutospacing="1" w:line="240" w:lineRule="auto"/>
        <w:rPr>
          <w:szCs w:val="18"/>
        </w:rPr>
      </w:pPr>
      <w:r w:rsidRPr="0075261B">
        <w:rPr>
          <w:szCs w:val="18"/>
        </w:rPr>
        <w:t xml:space="preserve">Stapsgewijze invoering van een meer holistische strategische planning op basis van kwantitatieve data. </w:t>
      </w:r>
    </w:p>
    <w:p w14:paraId="75FDA476" w14:textId="77777777" w:rsidR="00AE299D" w:rsidRPr="0075261B" w:rsidRDefault="00AE299D" w:rsidP="00150FE5">
      <w:pPr>
        <w:numPr>
          <w:ilvl w:val="0"/>
          <w:numId w:val="44"/>
        </w:numPr>
        <w:spacing w:before="100" w:beforeAutospacing="1" w:after="100" w:afterAutospacing="1" w:line="240" w:lineRule="auto"/>
        <w:rPr>
          <w:szCs w:val="18"/>
        </w:rPr>
      </w:pPr>
      <w:r w:rsidRPr="0075261B">
        <w:rPr>
          <w:szCs w:val="18"/>
        </w:rPr>
        <w:t xml:space="preserve">Wijzig hoe programma’s en projecten worden goedgekeurd zodat deze beter in lijn zijn met organisatie-brede prioriteiten. </w:t>
      </w:r>
    </w:p>
    <w:p w14:paraId="78F9FA77" w14:textId="77777777" w:rsidR="00CC1092" w:rsidRDefault="00AE299D" w:rsidP="00150FE5">
      <w:pPr>
        <w:numPr>
          <w:ilvl w:val="0"/>
          <w:numId w:val="44"/>
        </w:numPr>
        <w:spacing w:before="100" w:beforeAutospacing="1" w:after="100" w:afterAutospacing="1" w:line="240" w:lineRule="auto"/>
        <w:rPr>
          <w:szCs w:val="18"/>
        </w:rPr>
      </w:pPr>
      <w:r w:rsidRPr="0075261B">
        <w:rPr>
          <w:szCs w:val="18"/>
        </w:rPr>
        <w:t xml:space="preserve">Verbeter de capaciteit om bereikte resultaten en efficiëntie geloofwaardig te onderbouwen; </w:t>
      </w:r>
    </w:p>
    <w:p w14:paraId="75FDA478" w14:textId="2AC8EB5C" w:rsidR="00AE299D" w:rsidRPr="00CC1092" w:rsidRDefault="00AE299D" w:rsidP="00150FE5">
      <w:pPr>
        <w:numPr>
          <w:ilvl w:val="0"/>
          <w:numId w:val="44"/>
        </w:numPr>
        <w:spacing w:before="100" w:beforeAutospacing="1" w:after="100" w:afterAutospacing="1" w:line="240" w:lineRule="auto"/>
        <w:rPr>
          <w:szCs w:val="18"/>
        </w:rPr>
      </w:pPr>
      <w:r>
        <w:t>V</w:t>
      </w:r>
      <w:r w:rsidRPr="0075261B">
        <w:t xml:space="preserve">ersnelde integratie van horizontale kwesties. </w:t>
      </w:r>
    </w:p>
    <w:p w14:paraId="3EA9A638" w14:textId="102FBE14" w:rsidR="00D224BD" w:rsidRPr="00D224BD" w:rsidRDefault="00AE299D" w:rsidP="00150FE5">
      <w:pPr>
        <w:spacing w:before="100" w:beforeAutospacing="1" w:after="100" w:afterAutospacing="1" w:line="240" w:lineRule="auto"/>
      </w:pPr>
      <w:r w:rsidRPr="0075261B">
        <w:rPr>
          <w:szCs w:val="18"/>
        </w:rPr>
        <w:t>Vrijwel alle aanbevelingen zijn inmiddels opgevolgd</w:t>
      </w:r>
      <w:r>
        <w:rPr>
          <w:szCs w:val="18"/>
        </w:rPr>
        <w:t xml:space="preserve">. Ook is een evaluatie uitgevoerd van het </w:t>
      </w:r>
      <w:r w:rsidRPr="00AE299D">
        <w:rPr>
          <w:i/>
          <w:szCs w:val="18"/>
        </w:rPr>
        <w:t>Netherlands Trust Fund</w:t>
      </w:r>
      <w:r>
        <w:rPr>
          <w:szCs w:val="18"/>
        </w:rPr>
        <w:t xml:space="preserve"> programma. De evaluatie </w:t>
      </w:r>
      <w:r>
        <w:t>constateerde een significant, duurzaam resultaat in de koffiesector van Uganda. In Bangladesh leerde het MKB in de IT-sector buitenlandse markten te betreden.</w:t>
      </w:r>
      <w:r w:rsidR="00D224BD">
        <w:br/>
      </w:r>
    </w:p>
    <w:p w14:paraId="75FDA47A" w14:textId="24DCFA9B" w:rsidR="00AE299D" w:rsidRPr="0090555C" w:rsidRDefault="00712F9E" w:rsidP="00150FE5">
      <w:pPr>
        <w:pStyle w:val="Heading2"/>
        <w:tabs>
          <w:tab w:val="left" w:pos="-1162"/>
          <w:tab w:val="left" w:pos="0"/>
          <w:tab w:val="num" w:pos="1160"/>
        </w:tabs>
        <w:spacing w:line="240" w:lineRule="auto"/>
        <w:ind w:hanging="1162"/>
      </w:pPr>
      <w:bookmarkStart w:id="29" w:name="_Toc491439382"/>
      <w:r>
        <w:t>3</w:t>
      </w:r>
      <w:r w:rsidR="00AE299D" w:rsidRPr="0090555C">
        <w:t xml:space="preserve">.3 </w:t>
      </w:r>
      <w:r w:rsidR="00AE299D" w:rsidRPr="0090555C">
        <w:tab/>
        <w:t>Nederlandse rol en invloed</w:t>
      </w:r>
      <w:bookmarkEnd w:id="29"/>
    </w:p>
    <w:p w14:paraId="75FDA47C" w14:textId="4392362C" w:rsidR="00AE299D" w:rsidRDefault="00AE299D" w:rsidP="00150FE5">
      <w:r>
        <w:t xml:space="preserve">Nederland neemt deel aan de JAG-bijeenkomsten. De strategie en focus van ITC zijn in lijn met het Nederlandse beleid, inclusief de aandacht voor duurzaamheid en inclusiviteit. </w:t>
      </w:r>
    </w:p>
    <w:p w14:paraId="75FDA47D" w14:textId="77777777" w:rsidR="00AE299D" w:rsidRDefault="00AE299D" w:rsidP="00150FE5"/>
    <w:p w14:paraId="75FDA482" w14:textId="571D155C" w:rsidR="00AE299D" w:rsidRDefault="00AE299D" w:rsidP="00150FE5">
      <w:r>
        <w:lastRenderedPageBreak/>
        <w:t>Daarnaast werken N</w:t>
      </w:r>
      <w:r w:rsidRPr="0075261B">
        <w:t>ederland</w:t>
      </w:r>
      <w:r>
        <w:t xml:space="preserve"> en </w:t>
      </w:r>
      <w:r w:rsidRPr="0075261B">
        <w:t xml:space="preserve">ITC </w:t>
      </w:r>
      <w:r>
        <w:t xml:space="preserve">intensief samen </w:t>
      </w:r>
      <w:r w:rsidRPr="0075261B">
        <w:t xml:space="preserve">via de opeenvolgende </w:t>
      </w:r>
      <w:r w:rsidRPr="0075261B">
        <w:rPr>
          <w:i/>
        </w:rPr>
        <w:t xml:space="preserve">Netherlands Trust </w:t>
      </w:r>
      <w:r w:rsidRPr="008031A3">
        <w:rPr>
          <w:i/>
        </w:rPr>
        <w:t>Funds</w:t>
      </w:r>
      <w:r>
        <w:t xml:space="preserve"> (NTF’s). Deze samenwerking verloopt voornamelijk via het CBI-programma dat wordt geïmplementeerd door de Rijksdienst voor Ondernemend Nederland (en voorheen als Centrum tot Bevordering van Import uit ontwikkelingslanden een agentschap was van het ministerie van Buitenlandse Zaken). </w:t>
      </w:r>
      <w:r w:rsidDel="005B1385">
        <w:t xml:space="preserve"> </w:t>
      </w:r>
      <w:r>
        <w:t xml:space="preserve"> Van een samenwerking gericht op de aansturing van de NTF’s is deze samenwerking meer en meer ook inhoudelijk aan het worden, wa</w:t>
      </w:r>
      <w:r w:rsidR="00912FFF">
        <w:t>arbij ITC en het CBI-programma</w:t>
      </w:r>
      <w:r w:rsidRPr="0075261B">
        <w:t xml:space="preserve"> </w:t>
      </w:r>
      <w:r>
        <w:t>elkaar versterken:</w:t>
      </w:r>
    </w:p>
    <w:p w14:paraId="75FDA483" w14:textId="77777777" w:rsidR="00AE299D" w:rsidRDefault="00AE299D" w:rsidP="00150FE5">
      <w:pPr>
        <w:numPr>
          <w:ilvl w:val="1"/>
          <w:numId w:val="15"/>
        </w:numPr>
      </w:pPr>
      <w:r>
        <w:t>Samenwerking vindt plaats in het veld door gezamenlijke projectimplementatie;</w:t>
      </w:r>
    </w:p>
    <w:p w14:paraId="75FDA484" w14:textId="77777777" w:rsidR="00AE299D" w:rsidRPr="008031A3" w:rsidRDefault="00AE299D" w:rsidP="00150FE5">
      <w:pPr>
        <w:numPr>
          <w:ilvl w:val="1"/>
          <w:numId w:val="15"/>
        </w:numPr>
      </w:pPr>
      <w:r>
        <w:t xml:space="preserve">CBI en ITC werken samen op het gebied van </w:t>
      </w:r>
      <w:r w:rsidRPr="0002075E">
        <w:rPr>
          <w:i/>
        </w:rPr>
        <w:t>market intelligence</w:t>
      </w:r>
      <w:r>
        <w:t xml:space="preserve"> en maatscha</w:t>
      </w:r>
      <w:r w:rsidRPr="008031A3">
        <w:t>ppelijk verantwoord ondernemen</w:t>
      </w:r>
      <w:r>
        <w:t>;</w:t>
      </w:r>
    </w:p>
    <w:p w14:paraId="75FDA485" w14:textId="77777777" w:rsidR="00AE299D" w:rsidRDefault="00AE299D" w:rsidP="00150FE5">
      <w:pPr>
        <w:numPr>
          <w:ilvl w:val="1"/>
          <w:numId w:val="15"/>
        </w:numPr>
      </w:pPr>
      <w:r>
        <w:t>I</w:t>
      </w:r>
      <w:r w:rsidRPr="0002075E">
        <w:t xml:space="preserve">TC </w:t>
      </w:r>
      <w:r>
        <w:t xml:space="preserve">heeft </w:t>
      </w:r>
      <w:r w:rsidRPr="0002075E">
        <w:t>zich aangesloten bij de samenwerking van CBI en enkele andere Nederlandse partijen (Erasmus Universiteit</w:t>
      </w:r>
      <w:r>
        <w:t>,</w:t>
      </w:r>
      <w:r w:rsidRPr="0002075E">
        <w:t xml:space="preserve"> LEI Wageningen</w:t>
      </w:r>
      <w:r>
        <w:t xml:space="preserve"> en het Programma Uitzending Managers)</w:t>
      </w:r>
      <w:r w:rsidRPr="0002075E">
        <w:t xml:space="preserve"> in het kader van </w:t>
      </w:r>
      <w:r w:rsidRPr="0002075E">
        <w:rPr>
          <w:i/>
        </w:rPr>
        <w:t>Pioneering Real-time Impact Monitoring and Evaluation</w:t>
      </w:r>
      <w:r w:rsidRPr="0002075E">
        <w:t xml:space="preserve"> (PRIME)</w:t>
      </w:r>
      <w:r>
        <w:t xml:space="preserve">. </w:t>
      </w:r>
      <w:r w:rsidRPr="0002075E">
        <w:t xml:space="preserve">PRIME heeft tot doel de impact-evaluaties van programma’s gericht op </w:t>
      </w:r>
      <w:r>
        <w:t>ondersteuning</w:t>
      </w:r>
      <w:r w:rsidRPr="0002075E">
        <w:t xml:space="preserve"> van MKB in ontwikkeling</w:t>
      </w:r>
      <w:r w:rsidRPr="7E1BADDD">
        <w:rPr>
          <w:rFonts w:eastAsia="Verdana" w:cs="Verdana"/>
          <w:szCs w:val="18"/>
        </w:rPr>
        <w:t>slanden, te versterken.</w:t>
      </w:r>
    </w:p>
    <w:p w14:paraId="75FDA486" w14:textId="19C080DC" w:rsidR="00AE299D" w:rsidRPr="0002075E" w:rsidRDefault="00150FE5" w:rsidP="00150FE5">
      <w:pPr>
        <w:numPr>
          <w:ilvl w:val="1"/>
          <w:numId w:val="15"/>
        </w:numPr>
      </w:pPr>
      <w:r>
        <w:rPr>
          <w:rFonts w:eastAsia="Verdana" w:cs="Verdana"/>
          <w:szCs w:val="18"/>
        </w:rPr>
        <w:t>(</w:t>
      </w:r>
      <w:r w:rsidR="00AE299D" w:rsidRPr="7E1BADDD">
        <w:rPr>
          <w:rFonts w:eastAsia="Verdana" w:cs="Verdana"/>
          <w:szCs w:val="18"/>
        </w:rPr>
        <w:t>Momenteel is het voorstel voor NTF IV 2017-2021, dat nadrukkelijk wordt gepresenteerd als een gezamenlijk voorstel v</w:t>
      </w:r>
      <w:r>
        <w:rPr>
          <w:rFonts w:eastAsia="Verdana" w:cs="Verdana"/>
          <w:szCs w:val="18"/>
        </w:rPr>
        <w:t>an ITC en CBI, in beoordeling.)</w:t>
      </w:r>
    </w:p>
    <w:p w14:paraId="26B592D9" w14:textId="77777777" w:rsidR="00AE299D" w:rsidRDefault="00AE299D" w:rsidP="00150FE5"/>
    <w:p w14:paraId="75FDA489" w14:textId="15B328D7" w:rsidR="00AE299D" w:rsidRDefault="00AE299D" w:rsidP="00150FE5">
      <w:pPr>
        <w:rPr>
          <w:rFonts w:eastAsia="Calibri" w:cs="Calibri"/>
          <w:szCs w:val="20"/>
          <w:lang w:eastAsia="en-GB"/>
        </w:rPr>
      </w:pPr>
      <w:r w:rsidRPr="7E1BADDD">
        <w:rPr>
          <w:rFonts w:eastAsia="Verdana" w:cs="Verdana"/>
          <w:szCs w:val="18"/>
        </w:rPr>
        <w:t xml:space="preserve">ITC heeft via het </w:t>
      </w:r>
      <w:r w:rsidRPr="7E1BADDD">
        <w:rPr>
          <w:rFonts w:eastAsia="Verdana" w:cs="Verdana"/>
          <w:i/>
          <w:iCs/>
          <w:szCs w:val="18"/>
          <w:lang w:eastAsia="en-GB"/>
        </w:rPr>
        <w:t>Trade for Sustainable Development Programme</w:t>
      </w:r>
      <w:r w:rsidRPr="7E1BADDD">
        <w:rPr>
          <w:rFonts w:eastAsia="Verdana" w:cs="Verdana"/>
          <w:szCs w:val="18"/>
          <w:lang w:eastAsia="en-GB"/>
        </w:rPr>
        <w:t xml:space="preserve"> met verschillende Nederlandse partners samengewerkt zoals Hivos, UTZ en IDH.</w:t>
      </w:r>
    </w:p>
    <w:p w14:paraId="75FDA48A" w14:textId="77777777" w:rsidR="00AE299D" w:rsidRDefault="00AE299D" w:rsidP="00150FE5">
      <w:pPr>
        <w:rPr>
          <w:rFonts w:eastAsia="Calibri" w:cs="Calibri"/>
          <w:szCs w:val="20"/>
          <w:lang w:eastAsia="en-GB"/>
        </w:rPr>
      </w:pPr>
    </w:p>
    <w:p w14:paraId="75FDA48B" w14:textId="29937032" w:rsidR="00AE299D" w:rsidRPr="004B5724" w:rsidRDefault="00AE299D" w:rsidP="00150FE5">
      <w:r w:rsidRPr="7E1BADDD">
        <w:rPr>
          <w:rFonts w:eastAsia="Verdana" w:cs="Verdana"/>
          <w:szCs w:val="18"/>
          <w:lang w:eastAsia="en-GB"/>
        </w:rPr>
        <w:t xml:space="preserve">Er is geen formele EU-coördinatie voorafgaand aan de JAG of CCITF. Wel is er een donorcoördinatie overleg, waarin veel EU-lidstaten </w:t>
      </w:r>
      <w:r>
        <w:rPr>
          <w:rFonts w:eastAsia="Verdana" w:cs="Verdana"/>
          <w:szCs w:val="18"/>
          <w:lang w:eastAsia="en-GB"/>
        </w:rPr>
        <w:t>en</w:t>
      </w:r>
      <w:r w:rsidRPr="7E1BADDD">
        <w:rPr>
          <w:rFonts w:eastAsia="Verdana" w:cs="Verdana"/>
          <w:szCs w:val="18"/>
          <w:lang w:eastAsia="en-GB"/>
        </w:rPr>
        <w:t xml:space="preserve"> ook andere grote donoren (Zwitserland, Australië) zijn vertegenwoordigd. </w:t>
      </w:r>
    </w:p>
    <w:p w14:paraId="75FDA48C" w14:textId="77777777" w:rsidR="00AE299D" w:rsidRPr="004B5724" w:rsidRDefault="00AE299D" w:rsidP="00150FE5"/>
    <w:p w14:paraId="75FDA48D" w14:textId="129BCC13" w:rsidR="00AE299D" w:rsidRDefault="00AE299D" w:rsidP="00150FE5">
      <w:pPr>
        <w:rPr>
          <w:rFonts w:eastAsia="Verdana" w:cs="Verdana"/>
          <w:szCs w:val="18"/>
        </w:rPr>
      </w:pPr>
      <w:r>
        <w:rPr>
          <w:rFonts w:eastAsia="Verdana" w:cs="Verdana"/>
          <w:szCs w:val="18"/>
        </w:rPr>
        <w:t>Ook</w:t>
      </w:r>
      <w:r w:rsidRPr="7E1BADDD">
        <w:rPr>
          <w:rFonts w:eastAsia="Verdana" w:cs="Verdana"/>
          <w:szCs w:val="18"/>
        </w:rPr>
        <w:t xml:space="preserve"> werken Nederland en ITC </w:t>
      </w:r>
      <w:r>
        <w:rPr>
          <w:rFonts w:eastAsia="Verdana" w:cs="Verdana"/>
          <w:szCs w:val="18"/>
        </w:rPr>
        <w:t>op andere wijzen</w:t>
      </w:r>
      <w:r w:rsidRPr="7E1BADDD">
        <w:rPr>
          <w:rFonts w:eastAsia="Verdana" w:cs="Verdana"/>
          <w:szCs w:val="18"/>
        </w:rPr>
        <w:t xml:space="preserve"> samen, onder andere op het gebied van duurzame ketens en maatschappelijk verantwoord ondernemen.  </w:t>
      </w:r>
    </w:p>
    <w:p w14:paraId="7DF0C153" w14:textId="77777777" w:rsidR="00D224BD" w:rsidRPr="004B5724" w:rsidRDefault="00D224BD" w:rsidP="00150FE5"/>
    <w:p w14:paraId="75FDA48E" w14:textId="4D51C1C8" w:rsidR="00AE299D" w:rsidRDefault="00712F9E" w:rsidP="00150FE5">
      <w:pPr>
        <w:pStyle w:val="Heading2"/>
        <w:tabs>
          <w:tab w:val="left" w:pos="-1162"/>
          <w:tab w:val="left" w:pos="0"/>
          <w:tab w:val="num" w:pos="1160"/>
        </w:tabs>
        <w:spacing w:line="240" w:lineRule="auto"/>
        <w:ind w:hanging="1162"/>
      </w:pPr>
      <w:bookmarkStart w:id="30" w:name="_Toc491439383"/>
      <w:r>
        <w:t>3</w:t>
      </w:r>
      <w:r w:rsidR="00AE299D">
        <w:t>.4</w:t>
      </w:r>
      <w:r w:rsidR="00AE299D">
        <w:tab/>
        <w:t>Financiële omvang en bijdragen</w:t>
      </w:r>
      <w:bookmarkEnd w:id="30"/>
    </w:p>
    <w:p w14:paraId="75FDA490" w14:textId="6BD1A1C5" w:rsidR="00AE299D" w:rsidRDefault="00AE299D" w:rsidP="00150FE5">
      <w:r>
        <w:t>Financieel Overzicht (bedragen in USD miljoen)</w:t>
      </w:r>
    </w:p>
    <w:p w14:paraId="6437F4C1" w14:textId="77777777" w:rsidR="00150FE5" w:rsidRDefault="00150FE5" w:rsidP="00150FE5"/>
    <w:tbl>
      <w:tblPr>
        <w:tblW w:w="5000" w:type="pct"/>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1221"/>
        <w:gridCol w:w="1255"/>
        <w:gridCol w:w="1721"/>
        <w:gridCol w:w="1056"/>
        <w:gridCol w:w="1224"/>
      </w:tblGrid>
      <w:tr w:rsidR="00AE299D" w14:paraId="75FDA494" w14:textId="77777777" w:rsidTr="004206E3">
        <w:tc>
          <w:tcPr>
            <w:tcW w:w="793" w:type="pct"/>
            <w:tcBorders>
              <w:top w:val="single" w:sz="12" w:space="0" w:color="auto"/>
              <w:left w:val="single" w:sz="12" w:space="0" w:color="auto"/>
              <w:bottom w:val="single" w:sz="4" w:space="0" w:color="auto"/>
              <w:right w:val="single" w:sz="4" w:space="0" w:color="auto"/>
            </w:tcBorders>
            <w:shd w:val="clear" w:color="auto" w:fill="D9D9D9" w:themeFill="background1" w:themeFillShade="D9"/>
          </w:tcPr>
          <w:p w14:paraId="75FDA491" w14:textId="77777777" w:rsidR="00AE299D" w:rsidRDefault="00AE299D" w:rsidP="00150FE5"/>
        </w:tc>
        <w:tc>
          <w:tcPr>
            <w:tcW w:w="3412" w:type="pct"/>
            <w:gridSpan w:val="4"/>
            <w:tcBorders>
              <w:top w:val="single" w:sz="12" w:space="0" w:color="auto"/>
              <w:left w:val="single" w:sz="4" w:space="0" w:color="auto"/>
              <w:bottom w:val="single" w:sz="4" w:space="0" w:color="auto"/>
              <w:right w:val="single" w:sz="4" w:space="0" w:color="auto"/>
            </w:tcBorders>
            <w:shd w:val="clear" w:color="auto" w:fill="D9D9D9" w:themeFill="background1" w:themeFillShade="D9"/>
            <w:hideMark/>
          </w:tcPr>
          <w:p w14:paraId="75FDA492" w14:textId="77777777" w:rsidR="00AE299D" w:rsidRDefault="00AE299D" w:rsidP="00150FE5">
            <w:pPr>
              <w:rPr>
                <w:b/>
              </w:rPr>
            </w:pPr>
            <w:r>
              <w:rPr>
                <w:b/>
              </w:rPr>
              <w:t>Inkomsten (geregistreerd in jaar van ontvangst)</w:t>
            </w:r>
          </w:p>
        </w:tc>
        <w:tc>
          <w:tcPr>
            <w:tcW w:w="795" w:type="pct"/>
            <w:tcBorders>
              <w:top w:val="single" w:sz="12" w:space="0" w:color="auto"/>
              <w:left w:val="single" w:sz="4" w:space="0" w:color="auto"/>
              <w:bottom w:val="single" w:sz="4" w:space="0" w:color="auto"/>
              <w:right w:val="single" w:sz="12" w:space="0" w:color="auto"/>
            </w:tcBorders>
            <w:shd w:val="clear" w:color="auto" w:fill="D9D9D9" w:themeFill="background1" w:themeFillShade="D9"/>
            <w:hideMark/>
          </w:tcPr>
          <w:p w14:paraId="75FDA493" w14:textId="77777777" w:rsidR="00AE299D" w:rsidRDefault="00AE299D" w:rsidP="00150FE5">
            <w:pPr>
              <w:rPr>
                <w:b/>
              </w:rPr>
            </w:pPr>
            <w:r>
              <w:rPr>
                <w:b/>
              </w:rPr>
              <w:t>Uitgaven</w:t>
            </w:r>
          </w:p>
        </w:tc>
      </w:tr>
      <w:tr w:rsidR="00AE299D" w14:paraId="75FDA49A" w14:textId="77777777" w:rsidTr="004206E3">
        <w:tc>
          <w:tcPr>
            <w:tcW w:w="793" w:type="pct"/>
            <w:tcBorders>
              <w:top w:val="single" w:sz="4" w:space="0" w:color="auto"/>
              <w:left w:val="single" w:sz="12" w:space="0" w:color="auto"/>
              <w:bottom w:val="nil"/>
              <w:right w:val="single" w:sz="4" w:space="0" w:color="auto"/>
            </w:tcBorders>
            <w:shd w:val="clear" w:color="auto" w:fill="D9D9D9" w:themeFill="background1" w:themeFillShade="D9"/>
            <w:hideMark/>
          </w:tcPr>
          <w:p w14:paraId="75FDA495" w14:textId="77777777" w:rsidR="00AE299D" w:rsidRDefault="00AE299D" w:rsidP="00150FE5">
            <w:pPr>
              <w:rPr>
                <w:i/>
              </w:rPr>
            </w:pPr>
            <w:r>
              <w:rPr>
                <w:i/>
              </w:rPr>
              <w:t>Jaar</w:t>
            </w:r>
          </w:p>
        </w:tc>
        <w:tc>
          <w:tcPr>
            <w:tcW w:w="793" w:type="pct"/>
            <w:tcBorders>
              <w:top w:val="single" w:sz="4" w:space="0" w:color="auto"/>
              <w:left w:val="single" w:sz="4" w:space="0" w:color="auto"/>
              <w:bottom w:val="nil"/>
              <w:right w:val="single" w:sz="4" w:space="0" w:color="auto"/>
            </w:tcBorders>
            <w:shd w:val="clear" w:color="auto" w:fill="D9D9D9" w:themeFill="background1" w:themeFillShade="D9"/>
            <w:hideMark/>
          </w:tcPr>
          <w:p w14:paraId="75FDA496" w14:textId="77777777" w:rsidR="00AE299D" w:rsidRDefault="00AE299D" w:rsidP="00150FE5">
            <w:pPr>
              <w:rPr>
                <w:i/>
              </w:rPr>
            </w:pPr>
            <w:r>
              <w:rPr>
                <w:i/>
              </w:rPr>
              <w:t>Verplichte</w:t>
            </w:r>
          </w:p>
        </w:tc>
        <w:tc>
          <w:tcPr>
            <w:tcW w:w="193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FDA497" w14:textId="77777777" w:rsidR="00AE299D" w:rsidRDefault="00AE299D" w:rsidP="00150FE5">
            <w:pPr>
              <w:rPr>
                <w:i/>
              </w:rPr>
            </w:pPr>
            <w:r>
              <w:rPr>
                <w:i/>
              </w:rPr>
              <w:t>Vrijwillige bijdragen</w:t>
            </w:r>
          </w:p>
        </w:tc>
        <w:tc>
          <w:tcPr>
            <w:tcW w:w="686" w:type="pct"/>
            <w:tcBorders>
              <w:top w:val="single" w:sz="4" w:space="0" w:color="auto"/>
              <w:left w:val="single" w:sz="4" w:space="0" w:color="auto"/>
              <w:bottom w:val="nil"/>
              <w:right w:val="single" w:sz="4" w:space="0" w:color="auto"/>
            </w:tcBorders>
            <w:shd w:val="clear" w:color="auto" w:fill="D9D9D9" w:themeFill="background1" w:themeFillShade="D9"/>
            <w:hideMark/>
          </w:tcPr>
          <w:p w14:paraId="75FDA498" w14:textId="77777777" w:rsidR="00AE299D" w:rsidRDefault="00AE299D" w:rsidP="00150FE5">
            <w:pPr>
              <w:rPr>
                <w:i/>
              </w:rPr>
            </w:pPr>
            <w:r>
              <w:rPr>
                <w:i/>
              </w:rPr>
              <w:t>Totaal</w:t>
            </w:r>
          </w:p>
        </w:tc>
        <w:tc>
          <w:tcPr>
            <w:tcW w:w="795" w:type="pct"/>
            <w:tcBorders>
              <w:top w:val="single" w:sz="4" w:space="0" w:color="auto"/>
              <w:left w:val="single" w:sz="4" w:space="0" w:color="auto"/>
              <w:bottom w:val="nil"/>
              <w:right w:val="single" w:sz="12" w:space="0" w:color="auto"/>
            </w:tcBorders>
            <w:shd w:val="clear" w:color="auto" w:fill="D9D9D9" w:themeFill="background1" w:themeFillShade="D9"/>
            <w:hideMark/>
          </w:tcPr>
          <w:p w14:paraId="75FDA499" w14:textId="77777777" w:rsidR="00AE299D" w:rsidRDefault="00AE299D" w:rsidP="00150FE5">
            <w:pPr>
              <w:rPr>
                <w:i/>
              </w:rPr>
            </w:pPr>
            <w:r>
              <w:rPr>
                <w:i/>
              </w:rPr>
              <w:t>Totaal</w:t>
            </w:r>
          </w:p>
        </w:tc>
      </w:tr>
      <w:tr w:rsidR="00AE299D" w14:paraId="75FDA4A1" w14:textId="77777777" w:rsidTr="004206E3">
        <w:tc>
          <w:tcPr>
            <w:tcW w:w="793" w:type="pct"/>
            <w:tcBorders>
              <w:top w:val="nil"/>
              <w:left w:val="single" w:sz="12" w:space="0" w:color="auto"/>
              <w:bottom w:val="single" w:sz="12" w:space="0" w:color="auto"/>
              <w:right w:val="single" w:sz="4" w:space="0" w:color="auto"/>
            </w:tcBorders>
            <w:shd w:val="clear" w:color="auto" w:fill="D9D9D9" w:themeFill="background1" w:themeFillShade="D9"/>
            <w:hideMark/>
          </w:tcPr>
          <w:p w14:paraId="75FDA49B" w14:textId="77777777" w:rsidR="00AE299D" w:rsidRDefault="00AE299D" w:rsidP="00150FE5">
            <w:pPr>
              <w:rPr>
                <w:i/>
              </w:rPr>
            </w:pPr>
          </w:p>
        </w:tc>
        <w:tc>
          <w:tcPr>
            <w:tcW w:w="793" w:type="pct"/>
            <w:tcBorders>
              <w:top w:val="nil"/>
              <w:left w:val="single" w:sz="4" w:space="0" w:color="auto"/>
              <w:bottom w:val="single" w:sz="12" w:space="0" w:color="auto"/>
              <w:right w:val="single" w:sz="4" w:space="0" w:color="auto"/>
            </w:tcBorders>
            <w:shd w:val="clear" w:color="auto" w:fill="D9D9D9" w:themeFill="background1" w:themeFillShade="D9"/>
            <w:hideMark/>
          </w:tcPr>
          <w:p w14:paraId="75FDA49C" w14:textId="77777777" w:rsidR="00AE299D" w:rsidRDefault="00AE299D" w:rsidP="00150FE5">
            <w:pPr>
              <w:rPr>
                <w:i/>
              </w:rPr>
            </w:pPr>
            <w:r>
              <w:rPr>
                <w:i/>
              </w:rPr>
              <w:t>bijdragen</w:t>
            </w:r>
          </w:p>
        </w:tc>
        <w:tc>
          <w:tcPr>
            <w:tcW w:w="815" w:type="pct"/>
            <w:tcBorders>
              <w:top w:val="single" w:sz="4" w:space="0" w:color="auto"/>
              <w:left w:val="single" w:sz="4" w:space="0" w:color="auto"/>
              <w:bottom w:val="single" w:sz="12" w:space="0" w:color="auto"/>
              <w:right w:val="single" w:sz="4" w:space="0" w:color="auto"/>
            </w:tcBorders>
            <w:shd w:val="clear" w:color="auto" w:fill="D9D9D9" w:themeFill="background1" w:themeFillShade="D9"/>
            <w:hideMark/>
          </w:tcPr>
          <w:p w14:paraId="75FDA49D" w14:textId="2456D530" w:rsidR="00AE299D" w:rsidRDefault="004C0F60" w:rsidP="00150FE5">
            <w:pPr>
              <w:rPr>
                <w:i/>
              </w:rPr>
            </w:pPr>
            <w:r>
              <w:rPr>
                <w:i/>
              </w:rPr>
              <w:t>Non-core</w:t>
            </w:r>
          </w:p>
        </w:tc>
        <w:tc>
          <w:tcPr>
            <w:tcW w:w="1118" w:type="pct"/>
            <w:tcBorders>
              <w:top w:val="single" w:sz="4" w:space="0" w:color="auto"/>
              <w:left w:val="single" w:sz="4" w:space="0" w:color="auto"/>
              <w:bottom w:val="single" w:sz="12" w:space="0" w:color="auto"/>
              <w:right w:val="single" w:sz="4" w:space="0" w:color="auto"/>
            </w:tcBorders>
            <w:shd w:val="clear" w:color="auto" w:fill="D9D9D9" w:themeFill="background1" w:themeFillShade="D9"/>
            <w:hideMark/>
          </w:tcPr>
          <w:p w14:paraId="75FDA49E" w14:textId="346D5002" w:rsidR="00AE299D" w:rsidRDefault="004C0F60" w:rsidP="00150FE5">
            <w:pPr>
              <w:rPr>
                <w:i/>
              </w:rPr>
            </w:pPr>
            <w:r>
              <w:rPr>
                <w:i/>
              </w:rPr>
              <w:t>Core</w:t>
            </w:r>
          </w:p>
        </w:tc>
        <w:tc>
          <w:tcPr>
            <w:tcW w:w="686" w:type="pct"/>
            <w:tcBorders>
              <w:top w:val="nil"/>
              <w:left w:val="single" w:sz="4" w:space="0" w:color="auto"/>
              <w:bottom w:val="single" w:sz="12" w:space="0" w:color="auto"/>
              <w:right w:val="single" w:sz="4" w:space="0" w:color="auto"/>
            </w:tcBorders>
            <w:shd w:val="clear" w:color="auto" w:fill="D9D9D9" w:themeFill="background1" w:themeFillShade="D9"/>
          </w:tcPr>
          <w:p w14:paraId="75FDA49F" w14:textId="77777777" w:rsidR="00AE299D" w:rsidRDefault="00AE299D" w:rsidP="00150FE5">
            <w:pPr>
              <w:rPr>
                <w:i/>
              </w:rPr>
            </w:pPr>
          </w:p>
        </w:tc>
        <w:tc>
          <w:tcPr>
            <w:tcW w:w="795" w:type="pct"/>
            <w:tcBorders>
              <w:top w:val="nil"/>
              <w:left w:val="single" w:sz="4" w:space="0" w:color="auto"/>
              <w:bottom w:val="single" w:sz="12" w:space="0" w:color="auto"/>
              <w:right w:val="single" w:sz="12" w:space="0" w:color="auto"/>
            </w:tcBorders>
            <w:shd w:val="clear" w:color="auto" w:fill="D9D9D9" w:themeFill="background1" w:themeFillShade="D9"/>
          </w:tcPr>
          <w:p w14:paraId="75FDA4A0" w14:textId="77777777" w:rsidR="00AE299D" w:rsidRDefault="00AE299D" w:rsidP="00150FE5">
            <w:pPr>
              <w:rPr>
                <w:i/>
              </w:rPr>
            </w:pPr>
          </w:p>
        </w:tc>
      </w:tr>
      <w:tr w:rsidR="00AE299D" w14:paraId="75FDA4A8" w14:textId="77777777" w:rsidTr="00B432AA">
        <w:trPr>
          <w:trHeight w:val="211"/>
        </w:trPr>
        <w:tc>
          <w:tcPr>
            <w:tcW w:w="793" w:type="pct"/>
            <w:tcBorders>
              <w:top w:val="single" w:sz="12" w:space="0" w:color="auto"/>
              <w:left w:val="single" w:sz="12" w:space="0" w:color="auto"/>
              <w:bottom w:val="single" w:sz="4" w:space="0" w:color="auto"/>
              <w:right w:val="single" w:sz="4" w:space="0" w:color="auto"/>
            </w:tcBorders>
            <w:hideMark/>
          </w:tcPr>
          <w:p w14:paraId="75FDA4A2" w14:textId="77777777" w:rsidR="00AE299D" w:rsidRDefault="00AE299D" w:rsidP="00150FE5">
            <w:r>
              <w:t>2014</w:t>
            </w:r>
          </w:p>
        </w:tc>
        <w:tc>
          <w:tcPr>
            <w:tcW w:w="793" w:type="pct"/>
            <w:tcBorders>
              <w:top w:val="single" w:sz="12" w:space="0" w:color="auto"/>
              <w:left w:val="single" w:sz="4" w:space="0" w:color="auto"/>
              <w:bottom w:val="single" w:sz="4" w:space="0" w:color="auto"/>
              <w:right w:val="single" w:sz="4" w:space="0" w:color="auto"/>
            </w:tcBorders>
            <w:vAlign w:val="bottom"/>
          </w:tcPr>
          <w:p w14:paraId="75FDA4A3" w14:textId="62CBCB7F"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39.0 </w:t>
            </w:r>
          </w:p>
        </w:tc>
        <w:tc>
          <w:tcPr>
            <w:tcW w:w="815" w:type="pct"/>
            <w:tcBorders>
              <w:top w:val="single" w:sz="12" w:space="0" w:color="auto"/>
              <w:left w:val="single" w:sz="4" w:space="0" w:color="auto"/>
              <w:bottom w:val="single" w:sz="4" w:space="0" w:color="auto"/>
              <w:right w:val="single" w:sz="4" w:space="0" w:color="auto"/>
            </w:tcBorders>
            <w:vAlign w:val="bottom"/>
          </w:tcPr>
          <w:p w14:paraId="75FDA4A4" w14:textId="0BF5F7B0"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26,1 </w:t>
            </w:r>
          </w:p>
        </w:tc>
        <w:tc>
          <w:tcPr>
            <w:tcW w:w="1118" w:type="pct"/>
            <w:tcBorders>
              <w:top w:val="single" w:sz="12" w:space="0" w:color="auto"/>
              <w:left w:val="single" w:sz="4" w:space="0" w:color="auto"/>
              <w:bottom w:val="single" w:sz="4" w:space="0" w:color="auto"/>
              <w:right w:val="single" w:sz="4" w:space="0" w:color="auto"/>
            </w:tcBorders>
            <w:vAlign w:val="bottom"/>
          </w:tcPr>
          <w:p w14:paraId="75FDA4A5" w14:textId="2E263756" w:rsidR="00AE299D" w:rsidRPr="00AD0D77" w:rsidRDefault="00B432AA" w:rsidP="00B432AA">
            <w:pPr>
              <w:spacing w:line="240" w:lineRule="auto"/>
              <w:rPr>
                <w:rFonts w:cs="Calibri"/>
                <w:color w:val="000000"/>
                <w:lang w:eastAsia="en-GB"/>
              </w:rPr>
            </w:pPr>
            <w:r>
              <w:rPr>
                <w:rFonts w:cs="Calibri"/>
                <w:color w:val="000000"/>
                <w:lang w:eastAsia="en-GB"/>
              </w:rPr>
              <w:t xml:space="preserve"> </w:t>
            </w:r>
            <w:r w:rsidR="00AE299D" w:rsidRPr="00AD0D77">
              <w:rPr>
                <w:rFonts w:cs="Calibri"/>
                <w:color w:val="000000"/>
                <w:lang w:eastAsia="en-GB"/>
              </w:rPr>
              <w:t xml:space="preserve">17,7 </w:t>
            </w:r>
          </w:p>
        </w:tc>
        <w:tc>
          <w:tcPr>
            <w:tcW w:w="686" w:type="pct"/>
            <w:tcBorders>
              <w:top w:val="single" w:sz="12" w:space="0" w:color="auto"/>
              <w:left w:val="single" w:sz="4" w:space="0" w:color="auto"/>
              <w:bottom w:val="single" w:sz="4" w:space="0" w:color="auto"/>
              <w:right w:val="single" w:sz="4" w:space="0" w:color="auto"/>
            </w:tcBorders>
            <w:vAlign w:val="bottom"/>
          </w:tcPr>
          <w:p w14:paraId="75FDA4A6" w14:textId="610B35A8" w:rsidR="00AE299D" w:rsidRPr="00AD0D77" w:rsidRDefault="00AE299D" w:rsidP="00150FE5">
            <w:pPr>
              <w:spacing w:line="240" w:lineRule="auto"/>
              <w:rPr>
                <w:rFonts w:cs="Calibri"/>
                <w:color w:val="000000"/>
                <w:lang w:eastAsia="en-GB"/>
              </w:rPr>
            </w:pPr>
            <w:r w:rsidRPr="00AD0D77">
              <w:rPr>
                <w:rFonts w:cs="Calibri"/>
                <w:color w:val="000000"/>
                <w:lang w:eastAsia="en-GB"/>
              </w:rPr>
              <w:t xml:space="preserve">82,7 </w:t>
            </w:r>
          </w:p>
        </w:tc>
        <w:tc>
          <w:tcPr>
            <w:tcW w:w="795" w:type="pct"/>
            <w:tcBorders>
              <w:top w:val="single" w:sz="12" w:space="0" w:color="auto"/>
              <w:left w:val="single" w:sz="4" w:space="0" w:color="auto"/>
              <w:bottom w:val="single" w:sz="4" w:space="0" w:color="auto"/>
              <w:right w:val="single" w:sz="12" w:space="0" w:color="auto"/>
            </w:tcBorders>
            <w:vAlign w:val="bottom"/>
          </w:tcPr>
          <w:p w14:paraId="75FDA4A7" w14:textId="0390BA38"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90,1 </w:t>
            </w:r>
          </w:p>
        </w:tc>
      </w:tr>
      <w:tr w:rsidR="00AE299D" w14:paraId="75FDA4AF" w14:textId="77777777" w:rsidTr="004206E3">
        <w:tc>
          <w:tcPr>
            <w:tcW w:w="793" w:type="pct"/>
            <w:tcBorders>
              <w:top w:val="single" w:sz="4" w:space="0" w:color="auto"/>
              <w:left w:val="single" w:sz="12" w:space="0" w:color="auto"/>
              <w:bottom w:val="single" w:sz="4" w:space="0" w:color="auto"/>
              <w:right w:val="single" w:sz="4" w:space="0" w:color="auto"/>
            </w:tcBorders>
            <w:hideMark/>
          </w:tcPr>
          <w:p w14:paraId="75FDA4A9" w14:textId="77777777" w:rsidR="00AE299D" w:rsidRDefault="00AE299D" w:rsidP="00150FE5">
            <w:r>
              <w:t>2015</w:t>
            </w:r>
          </w:p>
        </w:tc>
        <w:tc>
          <w:tcPr>
            <w:tcW w:w="793" w:type="pct"/>
            <w:tcBorders>
              <w:top w:val="single" w:sz="4" w:space="0" w:color="auto"/>
              <w:left w:val="single" w:sz="4" w:space="0" w:color="auto"/>
              <w:bottom w:val="single" w:sz="4" w:space="0" w:color="auto"/>
              <w:right w:val="single" w:sz="4" w:space="0" w:color="auto"/>
            </w:tcBorders>
            <w:vAlign w:val="bottom"/>
          </w:tcPr>
          <w:p w14:paraId="75FDA4AA" w14:textId="14280B81"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41,3 </w:t>
            </w:r>
          </w:p>
        </w:tc>
        <w:tc>
          <w:tcPr>
            <w:tcW w:w="815" w:type="pct"/>
            <w:tcBorders>
              <w:top w:val="single" w:sz="4" w:space="0" w:color="auto"/>
              <w:left w:val="single" w:sz="4" w:space="0" w:color="auto"/>
              <w:bottom w:val="single" w:sz="4" w:space="0" w:color="auto"/>
              <w:right w:val="single" w:sz="4" w:space="0" w:color="auto"/>
            </w:tcBorders>
            <w:vAlign w:val="bottom"/>
          </w:tcPr>
          <w:p w14:paraId="75FDA4AB" w14:textId="2054123B"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36,2 </w:t>
            </w:r>
          </w:p>
        </w:tc>
        <w:tc>
          <w:tcPr>
            <w:tcW w:w="1118" w:type="pct"/>
            <w:tcBorders>
              <w:top w:val="single" w:sz="4" w:space="0" w:color="auto"/>
              <w:left w:val="single" w:sz="4" w:space="0" w:color="auto"/>
              <w:bottom w:val="single" w:sz="4" w:space="0" w:color="auto"/>
              <w:right w:val="single" w:sz="4" w:space="0" w:color="auto"/>
            </w:tcBorders>
            <w:vAlign w:val="bottom"/>
          </w:tcPr>
          <w:p w14:paraId="75FDA4AC" w14:textId="6CC53C01"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15,0 </w:t>
            </w:r>
          </w:p>
        </w:tc>
        <w:tc>
          <w:tcPr>
            <w:tcW w:w="686" w:type="pct"/>
            <w:tcBorders>
              <w:top w:val="single" w:sz="4" w:space="0" w:color="auto"/>
              <w:left w:val="single" w:sz="4" w:space="0" w:color="auto"/>
              <w:bottom w:val="single" w:sz="4" w:space="0" w:color="auto"/>
              <w:right w:val="single" w:sz="4" w:space="0" w:color="auto"/>
            </w:tcBorders>
            <w:vAlign w:val="bottom"/>
          </w:tcPr>
          <w:p w14:paraId="75FDA4AD" w14:textId="6561A9CB"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92,5 </w:t>
            </w:r>
          </w:p>
        </w:tc>
        <w:tc>
          <w:tcPr>
            <w:tcW w:w="795" w:type="pct"/>
            <w:tcBorders>
              <w:top w:val="single" w:sz="4" w:space="0" w:color="auto"/>
              <w:left w:val="single" w:sz="4" w:space="0" w:color="auto"/>
              <w:bottom w:val="single" w:sz="4" w:space="0" w:color="auto"/>
              <w:right w:val="single" w:sz="12" w:space="0" w:color="auto"/>
            </w:tcBorders>
            <w:vAlign w:val="bottom"/>
          </w:tcPr>
          <w:p w14:paraId="75FDA4AE" w14:textId="162E8F61"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95,4 </w:t>
            </w:r>
          </w:p>
        </w:tc>
      </w:tr>
      <w:tr w:rsidR="00AE299D" w14:paraId="75FDA4B6" w14:textId="77777777" w:rsidTr="004206E3">
        <w:tc>
          <w:tcPr>
            <w:tcW w:w="793" w:type="pct"/>
            <w:tcBorders>
              <w:top w:val="single" w:sz="4" w:space="0" w:color="auto"/>
              <w:left w:val="single" w:sz="12" w:space="0" w:color="auto"/>
              <w:bottom w:val="single" w:sz="12" w:space="0" w:color="auto"/>
              <w:right w:val="single" w:sz="4" w:space="0" w:color="auto"/>
            </w:tcBorders>
          </w:tcPr>
          <w:p w14:paraId="75FDA4B0" w14:textId="77777777" w:rsidR="00AE299D" w:rsidRDefault="00AE299D" w:rsidP="00150FE5">
            <w:r>
              <w:t>2016</w:t>
            </w:r>
          </w:p>
        </w:tc>
        <w:tc>
          <w:tcPr>
            <w:tcW w:w="793" w:type="pct"/>
            <w:tcBorders>
              <w:top w:val="single" w:sz="4" w:space="0" w:color="auto"/>
              <w:left w:val="single" w:sz="4" w:space="0" w:color="auto"/>
              <w:bottom w:val="single" w:sz="12" w:space="0" w:color="auto"/>
              <w:right w:val="single" w:sz="4" w:space="0" w:color="auto"/>
            </w:tcBorders>
            <w:vAlign w:val="bottom"/>
          </w:tcPr>
          <w:p w14:paraId="75FDA4B1" w14:textId="1940202A"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37,3 </w:t>
            </w:r>
          </w:p>
        </w:tc>
        <w:tc>
          <w:tcPr>
            <w:tcW w:w="815" w:type="pct"/>
            <w:tcBorders>
              <w:top w:val="single" w:sz="4" w:space="0" w:color="auto"/>
              <w:left w:val="single" w:sz="4" w:space="0" w:color="auto"/>
              <w:bottom w:val="single" w:sz="12" w:space="0" w:color="auto"/>
              <w:right w:val="single" w:sz="4" w:space="0" w:color="auto"/>
            </w:tcBorders>
            <w:vAlign w:val="bottom"/>
          </w:tcPr>
          <w:p w14:paraId="75FDA4B2" w14:textId="7DB3F6A0"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40,3 </w:t>
            </w:r>
          </w:p>
        </w:tc>
        <w:tc>
          <w:tcPr>
            <w:tcW w:w="1118" w:type="pct"/>
            <w:tcBorders>
              <w:top w:val="single" w:sz="4" w:space="0" w:color="auto"/>
              <w:left w:val="single" w:sz="4" w:space="0" w:color="auto"/>
              <w:bottom w:val="single" w:sz="12" w:space="0" w:color="auto"/>
              <w:right w:val="single" w:sz="4" w:space="0" w:color="auto"/>
            </w:tcBorders>
            <w:vAlign w:val="bottom"/>
          </w:tcPr>
          <w:p w14:paraId="75FDA4B3" w14:textId="11FE48FC"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10,8 </w:t>
            </w:r>
          </w:p>
        </w:tc>
        <w:tc>
          <w:tcPr>
            <w:tcW w:w="686" w:type="pct"/>
            <w:tcBorders>
              <w:top w:val="single" w:sz="4" w:space="0" w:color="auto"/>
              <w:left w:val="single" w:sz="4" w:space="0" w:color="auto"/>
              <w:bottom w:val="single" w:sz="12" w:space="0" w:color="auto"/>
              <w:right w:val="single" w:sz="4" w:space="0" w:color="auto"/>
            </w:tcBorders>
            <w:vAlign w:val="bottom"/>
          </w:tcPr>
          <w:p w14:paraId="75FDA4B4" w14:textId="09D69421"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88,5 </w:t>
            </w:r>
          </w:p>
        </w:tc>
        <w:tc>
          <w:tcPr>
            <w:tcW w:w="795" w:type="pct"/>
            <w:tcBorders>
              <w:top w:val="single" w:sz="4" w:space="0" w:color="auto"/>
              <w:left w:val="single" w:sz="4" w:space="0" w:color="auto"/>
              <w:bottom w:val="single" w:sz="12" w:space="0" w:color="auto"/>
              <w:right w:val="single" w:sz="12" w:space="0" w:color="auto"/>
            </w:tcBorders>
            <w:vAlign w:val="bottom"/>
          </w:tcPr>
          <w:p w14:paraId="75FDA4B5" w14:textId="568E8220" w:rsidR="00AE299D" w:rsidRPr="00AD0D77" w:rsidRDefault="00AE299D" w:rsidP="00B432AA">
            <w:pPr>
              <w:spacing w:line="240" w:lineRule="auto"/>
              <w:rPr>
                <w:rFonts w:cs="Calibri"/>
                <w:color w:val="000000"/>
                <w:lang w:eastAsia="en-GB"/>
              </w:rPr>
            </w:pPr>
            <w:r w:rsidRPr="00AD0D77">
              <w:rPr>
                <w:rFonts w:cs="Calibri"/>
                <w:color w:val="000000"/>
                <w:lang w:eastAsia="en-GB"/>
              </w:rPr>
              <w:t xml:space="preserve">84,1 </w:t>
            </w:r>
          </w:p>
        </w:tc>
      </w:tr>
    </w:tbl>
    <w:p w14:paraId="75FDA4B8" w14:textId="77777777" w:rsidR="00AE299D" w:rsidRDefault="00AE299D" w:rsidP="00150FE5"/>
    <w:p w14:paraId="75FDA4B9" w14:textId="488E94B3" w:rsidR="00AE299D" w:rsidRPr="0090555C" w:rsidRDefault="00AE299D" w:rsidP="00150FE5">
      <w:r w:rsidRPr="00813E85">
        <w:t>ITC’s reguliere budget voor 2016-2017 bedraagt USD 74,6 miljoen</w:t>
      </w:r>
      <w:r>
        <w:t>.</w:t>
      </w:r>
      <w:r w:rsidRPr="00813E85">
        <w:t xml:space="preserve"> </w:t>
      </w:r>
      <w:r w:rsidRPr="00AD0D77">
        <w:t xml:space="preserve">De VN en de WTO dragen hier ieder 50% aan bij. De VN-bijdrage wordt </w:t>
      </w:r>
      <w:r>
        <w:t>aangenomen</w:t>
      </w:r>
      <w:r w:rsidRPr="00AD0D77">
        <w:t xml:space="preserve"> door de Vijfde Commissie en wordt</w:t>
      </w:r>
      <w:r>
        <w:t xml:space="preserve"> tevens</w:t>
      </w:r>
      <w:r w:rsidRPr="00AD0D77">
        <w:t xml:space="preserve"> beoordeeld door de </w:t>
      </w:r>
      <w:r w:rsidRPr="00AD0D77">
        <w:rPr>
          <w:i/>
        </w:rPr>
        <w:t>Advisory Committee on Administrative and Budgetary Questions</w:t>
      </w:r>
      <w:r w:rsidRPr="00AD0D77">
        <w:t xml:space="preserve"> (ACABQ) </w:t>
      </w:r>
      <w:r>
        <w:t xml:space="preserve">van de VN. </w:t>
      </w:r>
      <w:r w:rsidRPr="0090555C">
        <w:t xml:space="preserve">De Algemene Vergadering keurt de bijdrage goed. </w:t>
      </w:r>
      <w:r w:rsidRPr="00DA0CDA">
        <w:t xml:space="preserve">Binnen de WTO behandelt het </w:t>
      </w:r>
      <w:r w:rsidRPr="00DA0CDA">
        <w:rPr>
          <w:i/>
        </w:rPr>
        <w:t>Committee of Budget, Finance and Administration</w:t>
      </w:r>
      <w:r w:rsidRPr="00DA0CDA">
        <w:t xml:space="preserve"> (CBFA) de bijdrage</w:t>
      </w:r>
      <w:r>
        <w:t xml:space="preserve">, </w:t>
      </w:r>
      <w:r w:rsidRPr="00DA0CDA">
        <w:t xml:space="preserve">waarna de Algemene Raad de bijdrage goedkeurt. </w:t>
      </w:r>
      <w:r w:rsidRPr="0090555C">
        <w:t>Ook de JAG beoordeelt het budget.</w:t>
      </w:r>
    </w:p>
    <w:p w14:paraId="75FDA4BA" w14:textId="3B7836C3" w:rsidR="00AE299D" w:rsidRDefault="00AE299D" w:rsidP="00150FE5"/>
    <w:p w14:paraId="0DD9A18C" w14:textId="6034FDCB" w:rsidR="00F323B9" w:rsidRDefault="00F323B9" w:rsidP="00150FE5"/>
    <w:p w14:paraId="6BF94968" w14:textId="77777777" w:rsidR="00B432AA" w:rsidRDefault="00B432AA" w:rsidP="00150FE5"/>
    <w:p w14:paraId="2B9745D4" w14:textId="77777777" w:rsidR="00D224BD" w:rsidRDefault="00D224BD" w:rsidP="00150FE5"/>
    <w:p w14:paraId="75FDA4BD" w14:textId="42860C6B" w:rsidR="00AE299D" w:rsidRDefault="00AE299D" w:rsidP="00150FE5">
      <w:r w:rsidRPr="004D372F">
        <w:t>Overzicht bijdragen en ranking grootste donoren</w:t>
      </w:r>
      <w:r>
        <w:t xml:space="preserve"> (bedragen in USD miljoen)</w:t>
      </w:r>
    </w:p>
    <w:p w14:paraId="00A59DD5" w14:textId="77777777" w:rsidR="00F323B9" w:rsidRDefault="00F323B9" w:rsidP="00150FE5"/>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82"/>
        <w:gridCol w:w="2009"/>
        <w:gridCol w:w="3259"/>
        <w:gridCol w:w="1747"/>
      </w:tblGrid>
      <w:tr w:rsidR="00AE299D" w14:paraId="75FDA4C2" w14:textId="77777777" w:rsidTr="004206E3">
        <w:tc>
          <w:tcPr>
            <w:tcW w:w="443" w:type="pct"/>
            <w:hideMark/>
          </w:tcPr>
          <w:p w14:paraId="75FDA4BE" w14:textId="77777777" w:rsidR="00AE299D" w:rsidRPr="00A13499" w:rsidRDefault="00AE299D" w:rsidP="00150FE5">
            <w:pPr>
              <w:rPr>
                <w:b/>
              </w:rPr>
            </w:pPr>
            <w:r w:rsidRPr="00A13499">
              <w:rPr>
                <w:b/>
              </w:rPr>
              <w:t>Jaar</w:t>
            </w:r>
          </w:p>
        </w:tc>
        <w:tc>
          <w:tcPr>
            <w:tcW w:w="1305" w:type="pct"/>
            <w:hideMark/>
          </w:tcPr>
          <w:p w14:paraId="75FDA4BF" w14:textId="77777777" w:rsidR="00AE299D" w:rsidRPr="00A13499" w:rsidRDefault="00AE299D" w:rsidP="00150FE5">
            <w:pPr>
              <w:rPr>
                <w:b/>
              </w:rPr>
            </w:pPr>
            <w:r w:rsidRPr="00A13499">
              <w:rPr>
                <w:b/>
              </w:rPr>
              <w:t>Bijdrage</w:t>
            </w:r>
          </w:p>
        </w:tc>
        <w:tc>
          <w:tcPr>
            <w:tcW w:w="2117" w:type="pct"/>
            <w:hideMark/>
          </w:tcPr>
          <w:p w14:paraId="75FDA4C0" w14:textId="77777777" w:rsidR="00AE299D" w:rsidRPr="00A13499" w:rsidRDefault="00AE299D" w:rsidP="00150FE5">
            <w:pPr>
              <w:rPr>
                <w:b/>
              </w:rPr>
            </w:pPr>
            <w:r w:rsidRPr="00A13499">
              <w:rPr>
                <w:b/>
              </w:rPr>
              <w:t>Ranking/donor</w:t>
            </w:r>
          </w:p>
        </w:tc>
        <w:tc>
          <w:tcPr>
            <w:tcW w:w="1135" w:type="pct"/>
            <w:hideMark/>
          </w:tcPr>
          <w:p w14:paraId="75FDA4C1" w14:textId="77777777" w:rsidR="00AE299D" w:rsidRPr="00A13499" w:rsidRDefault="00AE299D" w:rsidP="00150FE5">
            <w:pPr>
              <w:rPr>
                <w:b/>
              </w:rPr>
            </w:pPr>
            <w:r w:rsidRPr="00A13499">
              <w:rPr>
                <w:b/>
              </w:rPr>
              <w:t>Bedrag</w:t>
            </w:r>
          </w:p>
        </w:tc>
      </w:tr>
      <w:tr w:rsidR="00AE299D" w14:paraId="75FDA4C7" w14:textId="77777777" w:rsidTr="004206E3">
        <w:tc>
          <w:tcPr>
            <w:tcW w:w="443" w:type="pct"/>
            <w:shd w:val="clear" w:color="auto" w:fill="D9D9D9"/>
          </w:tcPr>
          <w:p w14:paraId="75FDA4C3" w14:textId="77777777" w:rsidR="00AE299D" w:rsidRDefault="00AE299D" w:rsidP="00150FE5"/>
        </w:tc>
        <w:tc>
          <w:tcPr>
            <w:tcW w:w="1305" w:type="pct"/>
            <w:shd w:val="clear" w:color="auto" w:fill="D9D9D9"/>
          </w:tcPr>
          <w:p w14:paraId="75FDA4C4" w14:textId="77777777" w:rsidR="00AE299D" w:rsidRDefault="00AE299D" w:rsidP="00150FE5"/>
        </w:tc>
        <w:tc>
          <w:tcPr>
            <w:tcW w:w="2117" w:type="pct"/>
            <w:shd w:val="clear" w:color="auto" w:fill="D9D9D9"/>
          </w:tcPr>
          <w:p w14:paraId="75FDA4C5" w14:textId="77777777" w:rsidR="00AE299D" w:rsidRDefault="00AE299D" w:rsidP="00150FE5"/>
        </w:tc>
        <w:tc>
          <w:tcPr>
            <w:tcW w:w="1135" w:type="pct"/>
            <w:shd w:val="clear" w:color="auto" w:fill="D9D9D9"/>
          </w:tcPr>
          <w:p w14:paraId="75FDA4C6" w14:textId="77777777" w:rsidR="00AE299D" w:rsidRDefault="00AE299D" w:rsidP="00150FE5"/>
        </w:tc>
      </w:tr>
      <w:tr w:rsidR="005D1B3A" w:rsidRPr="004D12D0" w14:paraId="75FDA4CC" w14:textId="77777777" w:rsidTr="004206E3">
        <w:trPr>
          <w:trHeight w:hRule="exact" w:val="227"/>
        </w:trPr>
        <w:tc>
          <w:tcPr>
            <w:tcW w:w="443" w:type="pct"/>
            <w:vMerge w:val="restart"/>
            <w:hideMark/>
          </w:tcPr>
          <w:p w14:paraId="75FDA4C8" w14:textId="77777777" w:rsidR="005D1B3A" w:rsidRDefault="005D1B3A" w:rsidP="00150FE5">
            <w:r>
              <w:t>2014</w:t>
            </w:r>
          </w:p>
        </w:tc>
        <w:tc>
          <w:tcPr>
            <w:tcW w:w="1305" w:type="pct"/>
            <w:vMerge w:val="restart"/>
            <w:hideMark/>
          </w:tcPr>
          <w:p w14:paraId="75FDA4C9" w14:textId="77777777" w:rsidR="005D1B3A" w:rsidRPr="004D12D0" w:rsidRDefault="005D1B3A" w:rsidP="00150FE5">
            <w:pPr>
              <w:rPr>
                <w:szCs w:val="18"/>
              </w:rPr>
            </w:pPr>
            <w:r w:rsidRPr="004D12D0">
              <w:rPr>
                <w:i/>
                <w:szCs w:val="18"/>
              </w:rPr>
              <w:t>Core</w:t>
            </w:r>
            <w:r w:rsidRPr="004D12D0">
              <w:rPr>
                <w:szCs w:val="18"/>
              </w:rPr>
              <w:t>-bijdrage</w:t>
            </w:r>
          </w:p>
        </w:tc>
        <w:tc>
          <w:tcPr>
            <w:tcW w:w="2117" w:type="pct"/>
            <w:vAlign w:val="bottom"/>
            <w:hideMark/>
          </w:tcPr>
          <w:p w14:paraId="75FDA4CA" w14:textId="4631BD39"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1 </w:t>
            </w:r>
            <w:r w:rsidRPr="004D12D0">
              <w:rPr>
                <w:rFonts w:cs="Calibri"/>
                <w:color w:val="000000"/>
                <w:szCs w:val="18"/>
                <w:lang w:eastAsia="en-GB"/>
              </w:rPr>
              <w:t>VN/WTO</w:t>
            </w:r>
          </w:p>
        </w:tc>
        <w:tc>
          <w:tcPr>
            <w:tcW w:w="1135" w:type="pct"/>
            <w:vAlign w:val="bottom"/>
          </w:tcPr>
          <w:p w14:paraId="75FDA4CB" w14:textId="394D1F5B"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39</w:t>
            </w:r>
            <w:r w:rsidR="00AF34E5" w:rsidRPr="00CC0714">
              <w:rPr>
                <w:rFonts w:cs="Calibri"/>
                <w:color w:val="000000"/>
                <w:szCs w:val="18"/>
                <w:lang w:eastAsia="en-GB"/>
              </w:rPr>
              <w:t>,</w:t>
            </w:r>
            <w:r w:rsidRPr="00CC0714">
              <w:rPr>
                <w:rFonts w:cs="Calibri"/>
                <w:color w:val="000000"/>
                <w:szCs w:val="18"/>
                <w:lang w:eastAsia="en-GB"/>
              </w:rPr>
              <w:t xml:space="preserve">0 </w:t>
            </w:r>
          </w:p>
        </w:tc>
      </w:tr>
      <w:tr w:rsidR="005D1B3A" w:rsidRPr="004D12D0" w14:paraId="75FDA4D1" w14:textId="77777777" w:rsidTr="004206E3">
        <w:trPr>
          <w:trHeight w:hRule="exact" w:val="227"/>
        </w:trPr>
        <w:tc>
          <w:tcPr>
            <w:tcW w:w="443" w:type="pct"/>
            <w:vMerge/>
          </w:tcPr>
          <w:p w14:paraId="75FDA4CD" w14:textId="77777777" w:rsidR="005D1B3A" w:rsidRDefault="005D1B3A" w:rsidP="00150FE5"/>
        </w:tc>
        <w:tc>
          <w:tcPr>
            <w:tcW w:w="1305" w:type="pct"/>
            <w:vMerge/>
          </w:tcPr>
          <w:p w14:paraId="75FDA4CE" w14:textId="77777777" w:rsidR="005D1B3A" w:rsidRPr="004D12D0" w:rsidRDefault="005D1B3A" w:rsidP="00150FE5">
            <w:pPr>
              <w:rPr>
                <w:szCs w:val="18"/>
              </w:rPr>
            </w:pPr>
          </w:p>
        </w:tc>
        <w:tc>
          <w:tcPr>
            <w:tcW w:w="2117" w:type="pct"/>
            <w:vAlign w:val="bottom"/>
            <w:hideMark/>
          </w:tcPr>
          <w:p w14:paraId="75FDA4CF" w14:textId="3B3DE43D"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2 </w:t>
            </w:r>
            <w:r w:rsidRPr="004D12D0">
              <w:rPr>
                <w:rFonts w:cs="Calibri"/>
                <w:color w:val="000000"/>
                <w:szCs w:val="18"/>
                <w:lang w:eastAsia="en-GB"/>
              </w:rPr>
              <w:t>Zweden</w:t>
            </w:r>
          </w:p>
        </w:tc>
        <w:tc>
          <w:tcPr>
            <w:tcW w:w="1135" w:type="pct"/>
            <w:vAlign w:val="bottom"/>
          </w:tcPr>
          <w:p w14:paraId="75FDA4D0" w14:textId="5E38F738"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4</w:t>
            </w:r>
            <w:r w:rsidR="00AF34E5" w:rsidRPr="00CC0714">
              <w:rPr>
                <w:rFonts w:cs="Calibri"/>
                <w:color w:val="000000"/>
                <w:szCs w:val="18"/>
                <w:lang w:eastAsia="en-GB"/>
              </w:rPr>
              <w:t>,</w:t>
            </w:r>
            <w:r w:rsidRPr="00CC0714">
              <w:rPr>
                <w:rFonts w:cs="Calibri"/>
                <w:color w:val="000000"/>
                <w:szCs w:val="18"/>
                <w:lang w:eastAsia="en-GB"/>
              </w:rPr>
              <w:t xml:space="preserve">4 </w:t>
            </w:r>
          </w:p>
        </w:tc>
      </w:tr>
      <w:tr w:rsidR="005D1B3A" w:rsidRPr="004D12D0" w14:paraId="75FDA4D6" w14:textId="77777777" w:rsidTr="004206E3">
        <w:trPr>
          <w:trHeight w:hRule="exact" w:val="227"/>
        </w:trPr>
        <w:tc>
          <w:tcPr>
            <w:tcW w:w="443" w:type="pct"/>
            <w:vMerge/>
          </w:tcPr>
          <w:p w14:paraId="75FDA4D2" w14:textId="77777777" w:rsidR="005D1B3A" w:rsidRDefault="005D1B3A" w:rsidP="00150FE5"/>
        </w:tc>
        <w:tc>
          <w:tcPr>
            <w:tcW w:w="1305" w:type="pct"/>
            <w:vMerge/>
          </w:tcPr>
          <w:p w14:paraId="75FDA4D3" w14:textId="77777777" w:rsidR="005D1B3A" w:rsidRPr="004D12D0" w:rsidRDefault="005D1B3A" w:rsidP="00150FE5">
            <w:pPr>
              <w:rPr>
                <w:szCs w:val="18"/>
              </w:rPr>
            </w:pPr>
          </w:p>
        </w:tc>
        <w:tc>
          <w:tcPr>
            <w:tcW w:w="2117" w:type="pct"/>
            <w:vAlign w:val="bottom"/>
            <w:hideMark/>
          </w:tcPr>
          <w:p w14:paraId="75FDA4D4" w14:textId="703121C3"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3 </w:t>
            </w:r>
            <w:r w:rsidRPr="004D12D0">
              <w:rPr>
                <w:rFonts w:cs="Calibri"/>
                <w:color w:val="000000"/>
                <w:szCs w:val="18"/>
                <w:lang w:eastAsia="en-GB"/>
              </w:rPr>
              <w:t>Finland</w:t>
            </w:r>
          </w:p>
        </w:tc>
        <w:tc>
          <w:tcPr>
            <w:tcW w:w="1135" w:type="pct"/>
            <w:vAlign w:val="bottom"/>
          </w:tcPr>
          <w:p w14:paraId="75FDA4D5" w14:textId="418A047C"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3</w:t>
            </w:r>
            <w:r w:rsidR="00AF34E5" w:rsidRPr="00CC0714">
              <w:rPr>
                <w:rFonts w:cs="Calibri"/>
                <w:color w:val="000000"/>
                <w:szCs w:val="18"/>
                <w:lang w:eastAsia="en-GB"/>
              </w:rPr>
              <w:t>,</w:t>
            </w:r>
            <w:r w:rsidRPr="00CC0714">
              <w:rPr>
                <w:rFonts w:cs="Calibri"/>
                <w:color w:val="000000"/>
                <w:szCs w:val="18"/>
                <w:lang w:eastAsia="en-GB"/>
              </w:rPr>
              <w:t xml:space="preserve">3 </w:t>
            </w:r>
          </w:p>
        </w:tc>
      </w:tr>
      <w:tr w:rsidR="005D1B3A" w:rsidRPr="004D12D0" w14:paraId="75FDA4DB" w14:textId="77777777" w:rsidTr="004206E3">
        <w:trPr>
          <w:trHeight w:hRule="exact" w:val="227"/>
        </w:trPr>
        <w:tc>
          <w:tcPr>
            <w:tcW w:w="443" w:type="pct"/>
            <w:vMerge/>
          </w:tcPr>
          <w:p w14:paraId="75FDA4D7" w14:textId="77777777" w:rsidR="005D1B3A" w:rsidRDefault="005D1B3A" w:rsidP="00150FE5"/>
        </w:tc>
        <w:tc>
          <w:tcPr>
            <w:tcW w:w="1305" w:type="pct"/>
            <w:vMerge w:val="restart"/>
            <w:hideMark/>
          </w:tcPr>
          <w:p w14:paraId="75FDA4D8" w14:textId="77777777" w:rsidR="005D1B3A" w:rsidRPr="004D12D0" w:rsidRDefault="005D1B3A" w:rsidP="00150FE5">
            <w:pPr>
              <w:rPr>
                <w:szCs w:val="18"/>
              </w:rPr>
            </w:pPr>
            <w:r w:rsidRPr="004D12D0">
              <w:rPr>
                <w:i/>
                <w:szCs w:val="18"/>
              </w:rPr>
              <w:t>Non-core</w:t>
            </w:r>
            <w:r w:rsidRPr="004D12D0">
              <w:rPr>
                <w:szCs w:val="18"/>
              </w:rPr>
              <w:t>-bijdragen</w:t>
            </w:r>
          </w:p>
        </w:tc>
        <w:tc>
          <w:tcPr>
            <w:tcW w:w="2117" w:type="pct"/>
            <w:vAlign w:val="bottom"/>
            <w:hideMark/>
          </w:tcPr>
          <w:p w14:paraId="75FDA4D9" w14:textId="205F58AF"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1 </w:t>
            </w:r>
            <w:r w:rsidRPr="004D12D0">
              <w:rPr>
                <w:rFonts w:cs="Calibri"/>
                <w:color w:val="000000"/>
                <w:szCs w:val="18"/>
                <w:lang w:eastAsia="en-GB"/>
              </w:rPr>
              <w:t>Europese Unie</w:t>
            </w:r>
          </w:p>
        </w:tc>
        <w:tc>
          <w:tcPr>
            <w:tcW w:w="1135" w:type="pct"/>
            <w:vAlign w:val="bottom"/>
          </w:tcPr>
          <w:p w14:paraId="75FDA4DA" w14:textId="6749A24D"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9</w:t>
            </w:r>
            <w:r w:rsidR="00420B7A" w:rsidRPr="00CC0714">
              <w:rPr>
                <w:rFonts w:cs="Calibri"/>
                <w:color w:val="000000"/>
                <w:szCs w:val="18"/>
                <w:lang w:eastAsia="en-GB"/>
              </w:rPr>
              <w:t>,</w:t>
            </w:r>
            <w:r w:rsidRPr="00CC0714">
              <w:rPr>
                <w:rFonts w:cs="Calibri"/>
                <w:color w:val="000000"/>
                <w:szCs w:val="18"/>
                <w:lang w:eastAsia="en-GB"/>
              </w:rPr>
              <w:t xml:space="preserve">6 </w:t>
            </w:r>
          </w:p>
        </w:tc>
      </w:tr>
      <w:tr w:rsidR="005D1B3A" w:rsidRPr="004D12D0" w14:paraId="75FDA4E0" w14:textId="77777777" w:rsidTr="004206E3">
        <w:trPr>
          <w:trHeight w:hRule="exact" w:val="227"/>
        </w:trPr>
        <w:tc>
          <w:tcPr>
            <w:tcW w:w="443" w:type="pct"/>
            <w:vMerge/>
          </w:tcPr>
          <w:p w14:paraId="75FDA4DC" w14:textId="77777777" w:rsidR="005D1B3A" w:rsidRDefault="005D1B3A" w:rsidP="00150FE5"/>
        </w:tc>
        <w:tc>
          <w:tcPr>
            <w:tcW w:w="1305" w:type="pct"/>
            <w:vMerge/>
          </w:tcPr>
          <w:p w14:paraId="75FDA4DD" w14:textId="77777777" w:rsidR="005D1B3A" w:rsidRPr="004D12D0" w:rsidRDefault="005D1B3A" w:rsidP="00150FE5">
            <w:pPr>
              <w:rPr>
                <w:szCs w:val="18"/>
              </w:rPr>
            </w:pPr>
          </w:p>
        </w:tc>
        <w:tc>
          <w:tcPr>
            <w:tcW w:w="2117" w:type="pct"/>
            <w:vAlign w:val="bottom"/>
            <w:hideMark/>
          </w:tcPr>
          <w:p w14:paraId="75FDA4DE" w14:textId="228B4CBF"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2 </w:t>
            </w:r>
            <w:r w:rsidRPr="004D12D0">
              <w:rPr>
                <w:rFonts w:cs="Calibri"/>
                <w:color w:val="000000"/>
                <w:szCs w:val="18"/>
                <w:lang w:eastAsia="en-GB"/>
              </w:rPr>
              <w:t>Verenigd Koninkrijk</w:t>
            </w:r>
          </w:p>
        </w:tc>
        <w:tc>
          <w:tcPr>
            <w:tcW w:w="1135" w:type="pct"/>
            <w:vAlign w:val="bottom"/>
          </w:tcPr>
          <w:p w14:paraId="75FDA4DF" w14:textId="759318E1"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3</w:t>
            </w:r>
            <w:r w:rsidR="00420B7A" w:rsidRPr="00CC0714">
              <w:rPr>
                <w:rFonts w:cs="Calibri"/>
                <w:color w:val="000000"/>
                <w:szCs w:val="18"/>
                <w:lang w:eastAsia="en-GB"/>
              </w:rPr>
              <w:t>,</w:t>
            </w:r>
            <w:r w:rsidRPr="00CC0714">
              <w:rPr>
                <w:rFonts w:cs="Calibri"/>
                <w:color w:val="000000"/>
                <w:szCs w:val="18"/>
                <w:lang w:eastAsia="en-GB"/>
              </w:rPr>
              <w:t xml:space="preserve">5 </w:t>
            </w:r>
          </w:p>
        </w:tc>
      </w:tr>
      <w:tr w:rsidR="005D1B3A" w:rsidRPr="004D12D0" w14:paraId="75FDA4E5" w14:textId="77777777" w:rsidTr="004206E3">
        <w:trPr>
          <w:trHeight w:hRule="exact" w:val="227"/>
        </w:trPr>
        <w:tc>
          <w:tcPr>
            <w:tcW w:w="443" w:type="pct"/>
            <w:vMerge/>
          </w:tcPr>
          <w:p w14:paraId="75FDA4E1" w14:textId="77777777" w:rsidR="005D1B3A" w:rsidRDefault="005D1B3A" w:rsidP="00150FE5"/>
        </w:tc>
        <w:tc>
          <w:tcPr>
            <w:tcW w:w="1305" w:type="pct"/>
            <w:vMerge/>
          </w:tcPr>
          <w:p w14:paraId="75FDA4E2" w14:textId="77777777" w:rsidR="005D1B3A" w:rsidRPr="004D12D0" w:rsidRDefault="005D1B3A" w:rsidP="00150FE5">
            <w:pPr>
              <w:rPr>
                <w:szCs w:val="18"/>
              </w:rPr>
            </w:pPr>
          </w:p>
        </w:tc>
        <w:tc>
          <w:tcPr>
            <w:tcW w:w="2117" w:type="pct"/>
            <w:vAlign w:val="bottom"/>
            <w:hideMark/>
          </w:tcPr>
          <w:p w14:paraId="75FDA4E3" w14:textId="1F1F1E2D"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3 </w:t>
            </w:r>
            <w:r w:rsidRPr="004D12D0">
              <w:rPr>
                <w:rFonts w:cs="Calibri"/>
                <w:color w:val="000000"/>
                <w:szCs w:val="18"/>
                <w:lang w:eastAsia="en-GB"/>
              </w:rPr>
              <w:t>Zwitserland</w:t>
            </w:r>
          </w:p>
        </w:tc>
        <w:tc>
          <w:tcPr>
            <w:tcW w:w="1135" w:type="pct"/>
            <w:vAlign w:val="bottom"/>
          </w:tcPr>
          <w:p w14:paraId="75FDA4E4" w14:textId="3A6575CE"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2</w:t>
            </w:r>
            <w:r w:rsidR="00420B7A" w:rsidRPr="00CC0714">
              <w:rPr>
                <w:rFonts w:cs="Calibri"/>
                <w:color w:val="000000"/>
                <w:szCs w:val="18"/>
                <w:lang w:eastAsia="en-GB"/>
              </w:rPr>
              <w:t>,</w:t>
            </w:r>
            <w:r w:rsidRPr="00CC0714">
              <w:rPr>
                <w:rFonts w:cs="Calibri"/>
                <w:color w:val="000000"/>
                <w:szCs w:val="18"/>
                <w:lang w:eastAsia="en-GB"/>
              </w:rPr>
              <w:t xml:space="preserve">9 </w:t>
            </w:r>
          </w:p>
        </w:tc>
      </w:tr>
      <w:tr w:rsidR="005D1B3A" w:rsidRPr="004D12D0" w14:paraId="75FDA4EA" w14:textId="77777777" w:rsidTr="004206E3">
        <w:trPr>
          <w:trHeight w:hRule="exact" w:val="227"/>
        </w:trPr>
        <w:tc>
          <w:tcPr>
            <w:tcW w:w="443" w:type="pct"/>
            <w:vMerge/>
          </w:tcPr>
          <w:p w14:paraId="75FDA4E6" w14:textId="77777777" w:rsidR="005D1B3A" w:rsidRDefault="005D1B3A" w:rsidP="00150FE5"/>
        </w:tc>
        <w:tc>
          <w:tcPr>
            <w:tcW w:w="1305" w:type="pct"/>
            <w:vMerge/>
          </w:tcPr>
          <w:p w14:paraId="75FDA4E7" w14:textId="77777777" w:rsidR="005D1B3A" w:rsidRPr="004D12D0" w:rsidRDefault="005D1B3A" w:rsidP="00150FE5">
            <w:pPr>
              <w:rPr>
                <w:szCs w:val="18"/>
              </w:rPr>
            </w:pPr>
          </w:p>
        </w:tc>
        <w:tc>
          <w:tcPr>
            <w:tcW w:w="2117" w:type="pct"/>
            <w:vAlign w:val="bottom"/>
          </w:tcPr>
          <w:p w14:paraId="75FDA4E8" w14:textId="0BC31BE8" w:rsidR="005D1B3A" w:rsidRPr="00712F9E" w:rsidRDefault="00420B7A" w:rsidP="00150FE5">
            <w:pPr>
              <w:spacing w:line="240" w:lineRule="auto"/>
              <w:rPr>
                <w:rFonts w:cs="Calibri"/>
                <w:b/>
                <w:iCs/>
                <w:color w:val="000000"/>
                <w:szCs w:val="18"/>
                <w:lang w:eastAsia="en-GB"/>
              </w:rPr>
            </w:pPr>
            <w:r>
              <w:rPr>
                <w:rFonts w:cs="Calibri"/>
                <w:b/>
                <w:iCs/>
                <w:color w:val="000000"/>
                <w:szCs w:val="18"/>
                <w:lang w:eastAsia="en-GB"/>
              </w:rPr>
              <w:t xml:space="preserve">4 </w:t>
            </w:r>
            <w:r w:rsidR="005D1B3A" w:rsidRPr="00712F9E">
              <w:rPr>
                <w:rFonts w:cs="Calibri"/>
                <w:b/>
                <w:iCs/>
                <w:color w:val="000000"/>
                <w:szCs w:val="18"/>
                <w:lang w:eastAsia="en-GB"/>
              </w:rPr>
              <w:t>Nederland</w:t>
            </w:r>
          </w:p>
        </w:tc>
        <w:tc>
          <w:tcPr>
            <w:tcW w:w="1135" w:type="pct"/>
            <w:vAlign w:val="bottom"/>
          </w:tcPr>
          <w:p w14:paraId="75FDA4E9" w14:textId="5B7AEAC9" w:rsidR="005D1B3A" w:rsidRPr="00CC0714" w:rsidRDefault="005D1B3A" w:rsidP="00B432AA">
            <w:pPr>
              <w:spacing w:line="240" w:lineRule="auto"/>
              <w:jc w:val="right"/>
              <w:rPr>
                <w:rFonts w:cs="Calibri"/>
                <w:iCs/>
                <w:color w:val="000000"/>
                <w:szCs w:val="18"/>
                <w:lang w:eastAsia="en-GB"/>
              </w:rPr>
            </w:pPr>
            <w:r w:rsidRPr="00CC0714">
              <w:rPr>
                <w:rFonts w:cs="Calibri"/>
                <w:iCs/>
                <w:color w:val="000000"/>
                <w:szCs w:val="18"/>
                <w:lang w:eastAsia="en-GB"/>
              </w:rPr>
              <w:t>1</w:t>
            </w:r>
            <w:r w:rsidR="00420B7A" w:rsidRPr="00CC0714">
              <w:rPr>
                <w:rFonts w:cs="Calibri"/>
                <w:iCs/>
                <w:color w:val="000000"/>
                <w:szCs w:val="18"/>
                <w:lang w:eastAsia="en-GB"/>
              </w:rPr>
              <w:t>,</w:t>
            </w:r>
            <w:r w:rsidRPr="00CC0714">
              <w:rPr>
                <w:rFonts w:cs="Calibri"/>
                <w:iCs/>
                <w:color w:val="000000"/>
                <w:szCs w:val="18"/>
                <w:lang w:eastAsia="en-GB"/>
              </w:rPr>
              <w:t xml:space="preserve">5 </w:t>
            </w:r>
          </w:p>
        </w:tc>
      </w:tr>
      <w:tr w:rsidR="005D1B3A" w:rsidRPr="004D12D0" w14:paraId="75FDA4EF" w14:textId="77777777" w:rsidTr="004206E3">
        <w:trPr>
          <w:trHeight w:hRule="exact" w:val="227"/>
        </w:trPr>
        <w:tc>
          <w:tcPr>
            <w:tcW w:w="443" w:type="pct"/>
            <w:vMerge/>
          </w:tcPr>
          <w:p w14:paraId="75FDA4EB" w14:textId="77777777" w:rsidR="005D1B3A" w:rsidRDefault="005D1B3A" w:rsidP="00150FE5"/>
        </w:tc>
        <w:tc>
          <w:tcPr>
            <w:tcW w:w="1305" w:type="pct"/>
            <w:vMerge w:val="restart"/>
            <w:hideMark/>
          </w:tcPr>
          <w:p w14:paraId="75FDA4EC" w14:textId="77777777" w:rsidR="005D1B3A" w:rsidRPr="004D12D0" w:rsidRDefault="005D1B3A" w:rsidP="00150FE5">
            <w:pPr>
              <w:rPr>
                <w:szCs w:val="18"/>
              </w:rPr>
            </w:pPr>
            <w:r w:rsidRPr="004D12D0">
              <w:rPr>
                <w:szCs w:val="18"/>
              </w:rPr>
              <w:t>Totaal bijdrage</w:t>
            </w:r>
          </w:p>
        </w:tc>
        <w:tc>
          <w:tcPr>
            <w:tcW w:w="2117" w:type="pct"/>
            <w:vAlign w:val="bottom"/>
            <w:hideMark/>
          </w:tcPr>
          <w:p w14:paraId="75FDA4ED" w14:textId="254C5CA4"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1 </w:t>
            </w:r>
            <w:r w:rsidRPr="004D12D0">
              <w:rPr>
                <w:rFonts w:cs="Calibri"/>
                <w:color w:val="000000"/>
                <w:szCs w:val="18"/>
                <w:lang w:eastAsia="en-GB"/>
              </w:rPr>
              <w:t>VN/WTO</w:t>
            </w:r>
          </w:p>
        </w:tc>
        <w:tc>
          <w:tcPr>
            <w:tcW w:w="1135" w:type="pct"/>
            <w:vAlign w:val="bottom"/>
          </w:tcPr>
          <w:p w14:paraId="75FDA4EE" w14:textId="69BE69DC"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39</w:t>
            </w:r>
            <w:r w:rsidR="00420B7A" w:rsidRPr="00CC0714">
              <w:rPr>
                <w:rFonts w:cs="Calibri"/>
                <w:color w:val="000000"/>
                <w:szCs w:val="18"/>
                <w:lang w:eastAsia="en-GB"/>
              </w:rPr>
              <w:t>,</w:t>
            </w:r>
            <w:r w:rsidRPr="00CC0714">
              <w:rPr>
                <w:rFonts w:cs="Calibri"/>
                <w:color w:val="000000"/>
                <w:szCs w:val="18"/>
                <w:lang w:eastAsia="en-GB"/>
              </w:rPr>
              <w:t xml:space="preserve">0 </w:t>
            </w:r>
          </w:p>
        </w:tc>
      </w:tr>
      <w:tr w:rsidR="005D1B3A" w:rsidRPr="004D12D0" w14:paraId="75FDA4F4" w14:textId="77777777" w:rsidTr="004206E3">
        <w:trPr>
          <w:trHeight w:hRule="exact" w:val="227"/>
        </w:trPr>
        <w:tc>
          <w:tcPr>
            <w:tcW w:w="443" w:type="pct"/>
            <w:vMerge/>
          </w:tcPr>
          <w:p w14:paraId="75FDA4F0" w14:textId="77777777" w:rsidR="005D1B3A" w:rsidRDefault="005D1B3A" w:rsidP="00150FE5"/>
        </w:tc>
        <w:tc>
          <w:tcPr>
            <w:tcW w:w="1305" w:type="pct"/>
            <w:vMerge/>
          </w:tcPr>
          <w:p w14:paraId="75FDA4F1" w14:textId="77777777" w:rsidR="005D1B3A" w:rsidRPr="004D12D0" w:rsidRDefault="005D1B3A" w:rsidP="00150FE5">
            <w:pPr>
              <w:rPr>
                <w:szCs w:val="18"/>
              </w:rPr>
            </w:pPr>
          </w:p>
        </w:tc>
        <w:tc>
          <w:tcPr>
            <w:tcW w:w="2117" w:type="pct"/>
            <w:vAlign w:val="bottom"/>
            <w:hideMark/>
          </w:tcPr>
          <w:p w14:paraId="75FDA4F2" w14:textId="7DCD2363"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2 </w:t>
            </w:r>
            <w:r w:rsidRPr="004D12D0">
              <w:rPr>
                <w:rFonts w:cs="Calibri"/>
                <w:color w:val="000000"/>
                <w:szCs w:val="18"/>
                <w:lang w:eastAsia="en-GB"/>
              </w:rPr>
              <w:t>Europese Unie</w:t>
            </w:r>
          </w:p>
        </w:tc>
        <w:tc>
          <w:tcPr>
            <w:tcW w:w="1135" w:type="pct"/>
            <w:vAlign w:val="bottom"/>
          </w:tcPr>
          <w:p w14:paraId="75FDA4F3" w14:textId="2D01BCAE"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9</w:t>
            </w:r>
            <w:r w:rsidR="00420B7A" w:rsidRPr="00CC0714">
              <w:rPr>
                <w:rFonts w:cs="Calibri"/>
                <w:color w:val="000000"/>
                <w:szCs w:val="18"/>
                <w:lang w:eastAsia="en-GB"/>
              </w:rPr>
              <w:t>,</w:t>
            </w:r>
            <w:r w:rsidRPr="00CC0714">
              <w:rPr>
                <w:rFonts w:cs="Calibri"/>
                <w:color w:val="000000"/>
                <w:szCs w:val="18"/>
                <w:lang w:eastAsia="en-GB"/>
              </w:rPr>
              <w:t xml:space="preserve">6 </w:t>
            </w:r>
          </w:p>
        </w:tc>
      </w:tr>
      <w:tr w:rsidR="005D1B3A" w:rsidRPr="004D12D0" w14:paraId="75FDA4F9" w14:textId="77777777" w:rsidTr="004206E3">
        <w:trPr>
          <w:trHeight w:hRule="exact" w:val="227"/>
        </w:trPr>
        <w:tc>
          <w:tcPr>
            <w:tcW w:w="443" w:type="pct"/>
            <w:vMerge/>
          </w:tcPr>
          <w:p w14:paraId="75FDA4F5" w14:textId="77777777" w:rsidR="005D1B3A" w:rsidRDefault="005D1B3A" w:rsidP="00150FE5"/>
        </w:tc>
        <w:tc>
          <w:tcPr>
            <w:tcW w:w="1305" w:type="pct"/>
            <w:vMerge/>
          </w:tcPr>
          <w:p w14:paraId="75FDA4F6" w14:textId="77777777" w:rsidR="005D1B3A" w:rsidRPr="004D12D0" w:rsidRDefault="005D1B3A" w:rsidP="00150FE5">
            <w:pPr>
              <w:rPr>
                <w:szCs w:val="18"/>
              </w:rPr>
            </w:pPr>
          </w:p>
        </w:tc>
        <w:tc>
          <w:tcPr>
            <w:tcW w:w="2117" w:type="pct"/>
            <w:vAlign w:val="bottom"/>
            <w:hideMark/>
          </w:tcPr>
          <w:p w14:paraId="75FDA4F7" w14:textId="50CA41BA"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3 </w:t>
            </w:r>
            <w:r w:rsidRPr="004D12D0">
              <w:rPr>
                <w:rFonts w:cs="Calibri"/>
                <w:color w:val="000000"/>
                <w:szCs w:val="18"/>
                <w:lang w:eastAsia="en-GB"/>
              </w:rPr>
              <w:t>Zweden</w:t>
            </w:r>
          </w:p>
        </w:tc>
        <w:tc>
          <w:tcPr>
            <w:tcW w:w="1135" w:type="pct"/>
            <w:vAlign w:val="bottom"/>
          </w:tcPr>
          <w:p w14:paraId="75FDA4F8" w14:textId="27532236"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4</w:t>
            </w:r>
            <w:r w:rsidR="00420B7A" w:rsidRPr="00CC0714">
              <w:rPr>
                <w:rFonts w:cs="Calibri"/>
                <w:color w:val="000000"/>
                <w:szCs w:val="18"/>
                <w:lang w:eastAsia="en-GB"/>
              </w:rPr>
              <w:t>,</w:t>
            </w:r>
            <w:r w:rsidRPr="00CC0714">
              <w:rPr>
                <w:rFonts w:cs="Calibri"/>
                <w:color w:val="000000"/>
                <w:szCs w:val="18"/>
                <w:lang w:eastAsia="en-GB"/>
              </w:rPr>
              <w:t xml:space="preserve">4 </w:t>
            </w:r>
          </w:p>
        </w:tc>
      </w:tr>
      <w:tr w:rsidR="005D1B3A" w:rsidRPr="004D12D0" w14:paraId="75FDA4FE" w14:textId="77777777" w:rsidTr="004206E3">
        <w:trPr>
          <w:trHeight w:hRule="exact" w:val="227"/>
        </w:trPr>
        <w:tc>
          <w:tcPr>
            <w:tcW w:w="443" w:type="pct"/>
            <w:vMerge/>
          </w:tcPr>
          <w:p w14:paraId="75FDA4FA" w14:textId="77777777" w:rsidR="005D1B3A" w:rsidRDefault="005D1B3A" w:rsidP="00150FE5"/>
        </w:tc>
        <w:tc>
          <w:tcPr>
            <w:tcW w:w="1305" w:type="pct"/>
            <w:vMerge/>
          </w:tcPr>
          <w:p w14:paraId="75FDA4FB" w14:textId="77777777" w:rsidR="005D1B3A" w:rsidRPr="004D12D0" w:rsidRDefault="005D1B3A" w:rsidP="00150FE5">
            <w:pPr>
              <w:rPr>
                <w:szCs w:val="18"/>
              </w:rPr>
            </w:pPr>
          </w:p>
        </w:tc>
        <w:tc>
          <w:tcPr>
            <w:tcW w:w="2117" w:type="pct"/>
            <w:vAlign w:val="bottom"/>
          </w:tcPr>
          <w:p w14:paraId="75FDA4FC" w14:textId="0DC07CC8" w:rsidR="005D1B3A" w:rsidRPr="00712F9E" w:rsidRDefault="00420B7A" w:rsidP="00150FE5">
            <w:pPr>
              <w:spacing w:line="240" w:lineRule="auto"/>
              <w:rPr>
                <w:rFonts w:cs="Calibri"/>
                <w:b/>
                <w:iCs/>
                <w:color w:val="000000"/>
                <w:szCs w:val="18"/>
                <w:lang w:eastAsia="en-GB"/>
              </w:rPr>
            </w:pPr>
            <w:r>
              <w:rPr>
                <w:rFonts w:cs="Calibri"/>
                <w:b/>
                <w:iCs/>
                <w:color w:val="000000"/>
                <w:szCs w:val="18"/>
                <w:lang w:eastAsia="en-GB"/>
              </w:rPr>
              <w:t xml:space="preserve">11 </w:t>
            </w:r>
            <w:r w:rsidR="005D1B3A" w:rsidRPr="00712F9E">
              <w:rPr>
                <w:rFonts w:cs="Calibri"/>
                <w:b/>
                <w:iCs/>
                <w:color w:val="000000"/>
                <w:szCs w:val="18"/>
                <w:lang w:eastAsia="en-GB"/>
              </w:rPr>
              <w:t>Nederland</w:t>
            </w:r>
          </w:p>
        </w:tc>
        <w:tc>
          <w:tcPr>
            <w:tcW w:w="1135" w:type="pct"/>
            <w:vAlign w:val="bottom"/>
          </w:tcPr>
          <w:p w14:paraId="75FDA4FD" w14:textId="021447EE" w:rsidR="005D1B3A" w:rsidRPr="00CC0714" w:rsidRDefault="005D1B3A" w:rsidP="00B432AA">
            <w:pPr>
              <w:spacing w:line="240" w:lineRule="auto"/>
              <w:jc w:val="right"/>
              <w:rPr>
                <w:rFonts w:cs="Calibri"/>
                <w:iCs/>
                <w:color w:val="000000"/>
                <w:szCs w:val="18"/>
                <w:lang w:eastAsia="en-GB"/>
              </w:rPr>
            </w:pPr>
            <w:r w:rsidRPr="00CC0714">
              <w:rPr>
                <w:rFonts w:cs="Calibri"/>
                <w:iCs/>
                <w:color w:val="000000"/>
                <w:szCs w:val="18"/>
                <w:lang w:eastAsia="en-GB"/>
              </w:rPr>
              <w:t>1</w:t>
            </w:r>
            <w:r w:rsidR="00420B7A" w:rsidRPr="00CC0714">
              <w:rPr>
                <w:rFonts w:cs="Calibri"/>
                <w:iCs/>
                <w:color w:val="000000"/>
                <w:szCs w:val="18"/>
                <w:lang w:eastAsia="en-GB"/>
              </w:rPr>
              <w:t>,</w:t>
            </w:r>
            <w:r w:rsidRPr="00CC0714">
              <w:rPr>
                <w:rFonts w:cs="Calibri"/>
                <w:iCs/>
                <w:color w:val="000000"/>
                <w:szCs w:val="18"/>
                <w:lang w:eastAsia="en-GB"/>
              </w:rPr>
              <w:t xml:space="preserve">5 </w:t>
            </w:r>
          </w:p>
        </w:tc>
      </w:tr>
      <w:tr w:rsidR="00AE299D" w:rsidRPr="004D12D0" w14:paraId="75FDA503" w14:textId="77777777" w:rsidTr="004206E3">
        <w:trPr>
          <w:trHeight w:hRule="exact" w:val="227"/>
        </w:trPr>
        <w:tc>
          <w:tcPr>
            <w:tcW w:w="443" w:type="pct"/>
            <w:shd w:val="clear" w:color="auto" w:fill="D9D9D9"/>
          </w:tcPr>
          <w:p w14:paraId="75FDA4FF" w14:textId="77777777" w:rsidR="00AE299D" w:rsidRDefault="00AE299D" w:rsidP="00150FE5"/>
        </w:tc>
        <w:tc>
          <w:tcPr>
            <w:tcW w:w="1305" w:type="pct"/>
            <w:shd w:val="clear" w:color="auto" w:fill="D9D9D9"/>
          </w:tcPr>
          <w:p w14:paraId="75FDA500" w14:textId="77777777" w:rsidR="00AE299D" w:rsidRPr="004D12D0" w:rsidRDefault="00AE299D" w:rsidP="00150FE5">
            <w:pPr>
              <w:rPr>
                <w:szCs w:val="18"/>
              </w:rPr>
            </w:pPr>
          </w:p>
        </w:tc>
        <w:tc>
          <w:tcPr>
            <w:tcW w:w="2117" w:type="pct"/>
            <w:shd w:val="clear" w:color="auto" w:fill="D9D9D9"/>
          </w:tcPr>
          <w:p w14:paraId="75FDA501" w14:textId="77777777" w:rsidR="00AE299D" w:rsidRPr="004D12D0" w:rsidRDefault="00AE299D" w:rsidP="00150FE5">
            <w:pPr>
              <w:rPr>
                <w:szCs w:val="18"/>
              </w:rPr>
            </w:pPr>
          </w:p>
        </w:tc>
        <w:tc>
          <w:tcPr>
            <w:tcW w:w="1135" w:type="pct"/>
            <w:shd w:val="clear" w:color="auto" w:fill="D9D9D9"/>
          </w:tcPr>
          <w:p w14:paraId="75FDA502" w14:textId="77777777" w:rsidR="00AE299D" w:rsidRPr="00CC0714" w:rsidRDefault="00AE299D" w:rsidP="00B432AA">
            <w:pPr>
              <w:tabs>
                <w:tab w:val="decimal" w:pos="1026"/>
              </w:tabs>
              <w:jc w:val="right"/>
              <w:rPr>
                <w:szCs w:val="18"/>
              </w:rPr>
            </w:pPr>
          </w:p>
        </w:tc>
      </w:tr>
      <w:tr w:rsidR="005D1B3A" w:rsidRPr="004D12D0" w14:paraId="75FDA508" w14:textId="77777777" w:rsidTr="004206E3">
        <w:trPr>
          <w:trHeight w:hRule="exact" w:val="227"/>
        </w:trPr>
        <w:tc>
          <w:tcPr>
            <w:tcW w:w="443" w:type="pct"/>
            <w:vMerge w:val="restart"/>
            <w:hideMark/>
          </w:tcPr>
          <w:p w14:paraId="75FDA504" w14:textId="77777777" w:rsidR="005D1B3A" w:rsidRDefault="005D1B3A" w:rsidP="00150FE5">
            <w:r>
              <w:t>2015</w:t>
            </w:r>
          </w:p>
        </w:tc>
        <w:tc>
          <w:tcPr>
            <w:tcW w:w="1305" w:type="pct"/>
            <w:vMerge w:val="restart"/>
            <w:hideMark/>
          </w:tcPr>
          <w:p w14:paraId="75FDA505" w14:textId="77777777" w:rsidR="005D1B3A" w:rsidRPr="004D12D0" w:rsidRDefault="005D1B3A" w:rsidP="00150FE5">
            <w:pPr>
              <w:rPr>
                <w:szCs w:val="18"/>
              </w:rPr>
            </w:pPr>
            <w:r w:rsidRPr="004D12D0">
              <w:rPr>
                <w:i/>
                <w:szCs w:val="18"/>
              </w:rPr>
              <w:t>Core</w:t>
            </w:r>
            <w:r w:rsidRPr="004D12D0">
              <w:rPr>
                <w:szCs w:val="18"/>
              </w:rPr>
              <w:t>-bijdrage</w:t>
            </w:r>
          </w:p>
        </w:tc>
        <w:tc>
          <w:tcPr>
            <w:tcW w:w="2117" w:type="pct"/>
            <w:vAlign w:val="bottom"/>
            <w:hideMark/>
          </w:tcPr>
          <w:p w14:paraId="75FDA506" w14:textId="30D13843"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1 </w:t>
            </w:r>
            <w:r w:rsidRPr="004D12D0">
              <w:rPr>
                <w:rFonts w:cs="Calibri"/>
                <w:color w:val="000000"/>
                <w:szCs w:val="18"/>
                <w:lang w:eastAsia="en-GB"/>
              </w:rPr>
              <w:t>VN/WTO</w:t>
            </w:r>
          </w:p>
        </w:tc>
        <w:tc>
          <w:tcPr>
            <w:tcW w:w="1135" w:type="pct"/>
            <w:vAlign w:val="bottom"/>
          </w:tcPr>
          <w:p w14:paraId="75FDA507" w14:textId="51676DF1"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41</w:t>
            </w:r>
            <w:r w:rsidR="00420B7A" w:rsidRPr="00CC0714">
              <w:rPr>
                <w:rFonts w:cs="Calibri"/>
                <w:color w:val="000000"/>
                <w:szCs w:val="18"/>
                <w:lang w:eastAsia="en-GB"/>
              </w:rPr>
              <w:t>,</w:t>
            </w:r>
            <w:r w:rsidRPr="00CC0714">
              <w:rPr>
                <w:rFonts w:cs="Calibri"/>
                <w:color w:val="000000"/>
                <w:szCs w:val="18"/>
                <w:lang w:eastAsia="en-GB"/>
              </w:rPr>
              <w:t xml:space="preserve">3 </w:t>
            </w:r>
          </w:p>
        </w:tc>
      </w:tr>
      <w:tr w:rsidR="005D1B3A" w:rsidRPr="004D12D0" w14:paraId="75FDA50D" w14:textId="77777777" w:rsidTr="004206E3">
        <w:trPr>
          <w:trHeight w:hRule="exact" w:val="227"/>
        </w:trPr>
        <w:tc>
          <w:tcPr>
            <w:tcW w:w="443" w:type="pct"/>
            <w:vMerge/>
          </w:tcPr>
          <w:p w14:paraId="75FDA509" w14:textId="77777777" w:rsidR="005D1B3A" w:rsidRDefault="005D1B3A" w:rsidP="00150FE5"/>
        </w:tc>
        <w:tc>
          <w:tcPr>
            <w:tcW w:w="1305" w:type="pct"/>
            <w:vMerge/>
          </w:tcPr>
          <w:p w14:paraId="75FDA50A" w14:textId="77777777" w:rsidR="005D1B3A" w:rsidRPr="004D12D0" w:rsidRDefault="005D1B3A" w:rsidP="00150FE5">
            <w:pPr>
              <w:rPr>
                <w:szCs w:val="18"/>
              </w:rPr>
            </w:pPr>
          </w:p>
        </w:tc>
        <w:tc>
          <w:tcPr>
            <w:tcW w:w="2117" w:type="pct"/>
            <w:vAlign w:val="bottom"/>
            <w:hideMark/>
          </w:tcPr>
          <w:p w14:paraId="75FDA50B" w14:textId="544E66FC"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2 </w:t>
            </w:r>
            <w:r w:rsidRPr="004D12D0">
              <w:rPr>
                <w:rFonts w:cs="Calibri"/>
                <w:color w:val="000000"/>
                <w:szCs w:val="18"/>
                <w:lang w:eastAsia="en-GB"/>
              </w:rPr>
              <w:t>Zweden</w:t>
            </w:r>
          </w:p>
        </w:tc>
        <w:tc>
          <w:tcPr>
            <w:tcW w:w="1135" w:type="pct"/>
            <w:vAlign w:val="bottom"/>
          </w:tcPr>
          <w:p w14:paraId="75FDA50C" w14:textId="58B74F5B"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3</w:t>
            </w:r>
            <w:r w:rsidR="00420B7A" w:rsidRPr="00CC0714">
              <w:rPr>
                <w:rFonts w:cs="Calibri"/>
                <w:color w:val="000000"/>
                <w:szCs w:val="18"/>
                <w:lang w:eastAsia="en-GB"/>
              </w:rPr>
              <w:t>,</w:t>
            </w:r>
            <w:r w:rsidRPr="00CC0714">
              <w:rPr>
                <w:rFonts w:cs="Calibri"/>
                <w:color w:val="000000"/>
                <w:szCs w:val="18"/>
                <w:lang w:eastAsia="en-GB"/>
              </w:rPr>
              <w:t xml:space="preserve">7 </w:t>
            </w:r>
          </w:p>
        </w:tc>
      </w:tr>
      <w:tr w:rsidR="005D1B3A" w:rsidRPr="004D12D0" w14:paraId="75FDA512" w14:textId="77777777" w:rsidTr="004206E3">
        <w:trPr>
          <w:trHeight w:hRule="exact" w:val="227"/>
        </w:trPr>
        <w:tc>
          <w:tcPr>
            <w:tcW w:w="443" w:type="pct"/>
            <w:vMerge/>
          </w:tcPr>
          <w:p w14:paraId="75FDA50E" w14:textId="77777777" w:rsidR="005D1B3A" w:rsidRDefault="005D1B3A" w:rsidP="00150FE5"/>
        </w:tc>
        <w:tc>
          <w:tcPr>
            <w:tcW w:w="1305" w:type="pct"/>
            <w:vMerge/>
          </w:tcPr>
          <w:p w14:paraId="75FDA50F" w14:textId="77777777" w:rsidR="005D1B3A" w:rsidRPr="004D12D0" w:rsidRDefault="005D1B3A" w:rsidP="00150FE5">
            <w:pPr>
              <w:rPr>
                <w:szCs w:val="18"/>
              </w:rPr>
            </w:pPr>
          </w:p>
        </w:tc>
        <w:tc>
          <w:tcPr>
            <w:tcW w:w="2117" w:type="pct"/>
            <w:vAlign w:val="bottom"/>
            <w:hideMark/>
          </w:tcPr>
          <w:p w14:paraId="75FDA510" w14:textId="6C71C417"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3 </w:t>
            </w:r>
            <w:r w:rsidRPr="004D12D0">
              <w:rPr>
                <w:rFonts w:cs="Calibri"/>
                <w:color w:val="000000"/>
                <w:szCs w:val="18"/>
                <w:lang w:eastAsia="en-GB"/>
              </w:rPr>
              <w:t>Noorwegen</w:t>
            </w:r>
          </w:p>
        </w:tc>
        <w:tc>
          <w:tcPr>
            <w:tcW w:w="1135" w:type="pct"/>
            <w:vAlign w:val="bottom"/>
          </w:tcPr>
          <w:p w14:paraId="75FDA511" w14:textId="7DB1AFAB"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2</w:t>
            </w:r>
            <w:r w:rsidR="00420B7A" w:rsidRPr="00CC0714">
              <w:rPr>
                <w:rFonts w:cs="Calibri"/>
                <w:color w:val="000000"/>
                <w:szCs w:val="18"/>
                <w:lang w:eastAsia="en-GB"/>
              </w:rPr>
              <w:t>,</w:t>
            </w:r>
            <w:r w:rsidRPr="00CC0714">
              <w:rPr>
                <w:rFonts w:cs="Calibri"/>
                <w:color w:val="000000"/>
                <w:szCs w:val="18"/>
                <w:lang w:eastAsia="en-GB"/>
              </w:rPr>
              <w:t xml:space="preserve">6 </w:t>
            </w:r>
          </w:p>
        </w:tc>
      </w:tr>
      <w:tr w:rsidR="005D1B3A" w:rsidRPr="004D12D0" w14:paraId="75FDA517" w14:textId="77777777" w:rsidTr="004206E3">
        <w:trPr>
          <w:trHeight w:hRule="exact" w:val="227"/>
        </w:trPr>
        <w:tc>
          <w:tcPr>
            <w:tcW w:w="443" w:type="pct"/>
            <w:vMerge/>
          </w:tcPr>
          <w:p w14:paraId="75FDA513" w14:textId="77777777" w:rsidR="005D1B3A" w:rsidRDefault="005D1B3A" w:rsidP="00150FE5"/>
        </w:tc>
        <w:tc>
          <w:tcPr>
            <w:tcW w:w="1305" w:type="pct"/>
            <w:vMerge w:val="restart"/>
            <w:hideMark/>
          </w:tcPr>
          <w:p w14:paraId="75FDA514" w14:textId="77777777" w:rsidR="005D1B3A" w:rsidRPr="004D12D0" w:rsidRDefault="005D1B3A" w:rsidP="00150FE5">
            <w:pPr>
              <w:rPr>
                <w:szCs w:val="18"/>
              </w:rPr>
            </w:pPr>
            <w:r w:rsidRPr="004D12D0">
              <w:rPr>
                <w:i/>
                <w:szCs w:val="18"/>
              </w:rPr>
              <w:t>Non-core</w:t>
            </w:r>
            <w:r w:rsidRPr="004D12D0">
              <w:rPr>
                <w:szCs w:val="18"/>
              </w:rPr>
              <w:t>-bijdragen</w:t>
            </w:r>
          </w:p>
        </w:tc>
        <w:tc>
          <w:tcPr>
            <w:tcW w:w="2117" w:type="pct"/>
            <w:vAlign w:val="bottom"/>
            <w:hideMark/>
          </w:tcPr>
          <w:p w14:paraId="75FDA515" w14:textId="3576E944"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1 </w:t>
            </w:r>
            <w:r w:rsidR="00420B7A" w:rsidRPr="004D12D0">
              <w:rPr>
                <w:rFonts w:cs="Calibri"/>
                <w:color w:val="000000"/>
                <w:szCs w:val="18"/>
                <w:lang w:eastAsia="en-GB"/>
              </w:rPr>
              <w:t>Verenigd Koninkrijk</w:t>
            </w:r>
          </w:p>
        </w:tc>
        <w:tc>
          <w:tcPr>
            <w:tcW w:w="1135" w:type="pct"/>
            <w:vAlign w:val="bottom"/>
          </w:tcPr>
          <w:p w14:paraId="75FDA516" w14:textId="45BAF80F"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9</w:t>
            </w:r>
            <w:r w:rsidR="00420B7A" w:rsidRPr="00CC0714">
              <w:rPr>
                <w:rFonts w:cs="Calibri"/>
                <w:color w:val="000000"/>
                <w:szCs w:val="18"/>
                <w:lang w:eastAsia="en-GB"/>
              </w:rPr>
              <w:t>,</w:t>
            </w:r>
            <w:r w:rsidRPr="00CC0714">
              <w:rPr>
                <w:rFonts w:cs="Calibri"/>
                <w:color w:val="000000"/>
                <w:szCs w:val="18"/>
                <w:lang w:eastAsia="en-GB"/>
              </w:rPr>
              <w:t xml:space="preserve">4 </w:t>
            </w:r>
          </w:p>
        </w:tc>
      </w:tr>
      <w:tr w:rsidR="005D1B3A" w:rsidRPr="004D12D0" w14:paraId="75FDA51C" w14:textId="77777777" w:rsidTr="004206E3">
        <w:trPr>
          <w:trHeight w:hRule="exact" w:val="227"/>
        </w:trPr>
        <w:tc>
          <w:tcPr>
            <w:tcW w:w="443" w:type="pct"/>
            <w:vMerge/>
          </w:tcPr>
          <w:p w14:paraId="75FDA518" w14:textId="77777777" w:rsidR="005D1B3A" w:rsidRDefault="005D1B3A" w:rsidP="00150FE5"/>
        </w:tc>
        <w:tc>
          <w:tcPr>
            <w:tcW w:w="1305" w:type="pct"/>
            <w:vMerge/>
          </w:tcPr>
          <w:p w14:paraId="75FDA519" w14:textId="77777777" w:rsidR="005D1B3A" w:rsidRPr="004D12D0" w:rsidRDefault="005D1B3A" w:rsidP="00150FE5">
            <w:pPr>
              <w:rPr>
                <w:szCs w:val="18"/>
              </w:rPr>
            </w:pPr>
          </w:p>
        </w:tc>
        <w:tc>
          <w:tcPr>
            <w:tcW w:w="2117" w:type="pct"/>
            <w:vAlign w:val="bottom"/>
            <w:hideMark/>
          </w:tcPr>
          <w:p w14:paraId="75FDA51A" w14:textId="29275AF3"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2 </w:t>
            </w:r>
            <w:r w:rsidRPr="004D12D0">
              <w:rPr>
                <w:rFonts w:cs="Calibri"/>
                <w:color w:val="000000"/>
                <w:szCs w:val="18"/>
                <w:lang w:eastAsia="en-GB"/>
              </w:rPr>
              <w:t>EU</w:t>
            </w:r>
          </w:p>
        </w:tc>
        <w:tc>
          <w:tcPr>
            <w:tcW w:w="1135" w:type="pct"/>
            <w:vAlign w:val="bottom"/>
          </w:tcPr>
          <w:p w14:paraId="75FDA51B" w14:textId="28F12DF7"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6</w:t>
            </w:r>
            <w:r w:rsidR="00420B7A" w:rsidRPr="00CC0714">
              <w:rPr>
                <w:rFonts w:cs="Calibri"/>
                <w:color w:val="000000"/>
                <w:szCs w:val="18"/>
                <w:lang w:eastAsia="en-GB"/>
              </w:rPr>
              <w:t>,</w:t>
            </w:r>
            <w:r w:rsidRPr="00CC0714">
              <w:rPr>
                <w:rFonts w:cs="Calibri"/>
                <w:color w:val="000000"/>
                <w:szCs w:val="18"/>
                <w:lang w:eastAsia="en-GB"/>
              </w:rPr>
              <w:t xml:space="preserve">3 </w:t>
            </w:r>
          </w:p>
        </w:tc>
      </w:tr>
      <w:tr w:rsidR="005D1B3A" w:rsidRPr="004D12D0" w14:paraId="75FDA521" w14:textId="77777777" w:rsidTr="004206E3">
        <w:trPr>
          <w:trHeight w:hRule="exact" w:val="227"/>
        </w:trPr>
        <w:tc>
          <w:tcPr>
            <w:tcW w:w="443" w:type="pct"/>
            <w:vMerge/>
          </w:tcPr>
          <w:p w14:paraId="75FDA51D" w14:textId="77777777" w:rsidR="005D1B3A" w:rsidRDefault="005D1B3A" w:rsidP="00150FE5"/>
        </w:tc>
        <w:tc>
          <w:tcPr>
            <w:tcW w:w="1305" w:type="pct"/>
            <w:vMerge/>
          </w:tcPr>
          <w:p w14:paraId="75FDA51E" w14:textId="77777777" w:rsidR="005D1B3A" w:rsidRPr="004D12D0" w:rsidRDefault="005D1B3A" w:rsidP="00150FE5">
            <w:pPr>
              <w:rPr>
                <w:szCs w:val="18"/>
              </w:rPr>
            </w:pPr>
          </w:p>
        </w:tc>
        <w:tc>
          <w:tcPr>
            <w:tcW w:w="2117" w:type="pct"/>
            <w:vAlign w:val="bottom"/>
            <w:hideMark/>
          </w:tcPr>
          <w:p w14:paraId="75FDA51F" w14:textId="13EA9A8F" w:rsidR="005D1B3A" w:rsidRPr="00712F9E" w:rsidRDefault="005D1B3A" w:rsidP="00150FE5">
            <w:pPr>
              <w:spacing w:line="240" w:lineRule="auto"/>
              <w:rPr>
                <w:rFonts w:cs="Calibri"/>
                <w:b/>
                <w:color w:val="000000"/>
                <w:szCs w:val="18"/>
                <w:lang w:eastAsia="en-GB"/>
              </w:rPr>
            </w:pPr>
            <w:r w:rsidRPr="00712F9E">
              <w:rPr>
                <w:rFonts w:cs="Calibri"/>
                <w:b/>
                <w:color w:val="000000"/>
                <w:szCs w:val="18"/>
                <w:lang w:eastAsia="en-GB"/>
              </w:rPr>
              <w:t>3 Nederland</w:t>
            </w:r>
          </w:p>
        </w:tc>
        <w:tc>
          <w:tcPr>
            <w:tcW w:w="1135" w:type="pct"/>
            <w:vAlign w:val="bottom"/>
          </w:tcPr>
          <w:p w14:paraId="75FDA520" w14:textId="01E7A460" w:rsidR="005D1B3A" w:rsidRPr="00CC0714" w:rsidRDefault="00420B7A" w:rsidP="00B432AA">
            <w:pPr>
              <w:spacing w:line="240" w:lineRule="auto"/>
              <w:jc w:val="right"/>
              <w:rPr>
                <w:rFonts w:cs="Calibri"/>
                <w:color w:val="000000"/>
                <w:szCs w:val="18"/>
                <w:lang w:eastAsia="en-GB"/>
              </w:rPr>
            </w:pPr>
            <w:r w:rsidRPr="00CC0714">
              <w:rPr>
                <w:rFonts w:cs="Calibri"/>
                <w:color w:val="000000"/>
                <w:szCs w:val="18"/>
                <w:lang w:eastAsia="en-GB"/>
              </w:rPr>
              <w:t>3,4</w:t>
            </w:r>
            <w:r w:rsidR="005D1B3A" w:rsidRPr="00CC0714">
              <w:rPr>
                <w:rFonts w:cs="Calibri"/>
                <w:color w:val="000000"/>
                <w:szCs w:val="18"/>
                <w:lang w:eastAsia="en-GB"/>
              </w:rPr>
              <w:t xml:space="preserve"> </w:t>
            </w:r>
          </w:p>
        </w:tc>
      </w:tr>
      <w:tr w:rsidR="005D1B3A" w:rsidRPr="004D12D0" w14:paraId="75FDA526" w14:textId="77777777" w:rsidTr="004206E3">
        <w:trPr>
          <w:trHeight w:hRule="exact" w:val="227"/>
        </w:trPr>
        <w:tc>
          <w:tcPr>
            <w:tcW w:w="443" w:type="pct"/>
            <w:vMerge/>
          </w:tcPr>
          <w:p w14:paraId="75FDA522" w14:textId="77777777" w:rsidR="005D1B3A" w:rsidRDefault="005D1B3A" w:rsidP="00150FE5"/>
        </w:tc>
        <w:tc>
          <w:tcPr>
            <w:tcW w:w="1305" w:type="pct"/>
            <w:vMerge w:val="restart"/>
            <w:hideMark/>
          </w:tcPr>
          <w:p w14:paraId="75FDA523" w14:textId="77777777" w:rsidR="005D1B3A" w:rsidRPr="004D12D0" w:rsidRDefault="005D1B3A" w:rsidP="00150FE5">
            <w:pPr>
              <w:rPr>
                <w:szCs w:val="18"/>
              </w:rPr>
            </w:pPr>
            <w:r w:rsidRPr="004D12D0">
              <w:rPr>
                <w:szCs w:val="18"/>
              </w:rPr>
              <w:t>Totaal bijdrage</w:t>
            </w:r>
          </w:p>
        </w:tc>
        <w:tc>
          <w:tcPr>
            <w:tcW w:w="2117" w:type="pct"/>
            <w:vAlign w:val="bottom"/>
            <w:hideMark/>
          </w:tcPr>
          <w:p w14:paraId="75FDA524" w14:textId="48223FDD"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1 </w:t>
            </w:r>
            <w:r w:rsidRPr="004D12D0">
              <w:rPr>
                <w:rFonts w:cs="Calibri"/>
                <w:color w:val="000000"/>
                <w:szCs w:val="18"/>
                <w:lang w:eastAsia="en-GB"/>
              </w:rPr>
              <w:t>VN/WTO</w:t>
            </w:r>
          </w:p>
        </w:tc>
        <w:tc>
          <w:tcPr>
            <w:tcW w:w="1135" w:type="pct"/>
            <w:vAlign w:val="bottom"/>
          </w:tcPr>
          <w:p w14:paraId="75FDA525" w14:textId="13E02243"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41</w:t>
            </w:r>
            <w:r w:rsidR="00420B7A" w:rsidRPr="00CC0714">
              <w:rPr>
                <w:rFonts w:cs="Calibri"/>
                <w:color w:val="000000"/>
                <w:szCs w:val="18"/>
                <w:lang w:eastAsia="en-GB"/>
              </w:rPr>
              <w:t>,</w:t>
            </w:r>
            <w:r w:rsidRPr="00CC0714">
              <w:rPr>
                <w:rFonts w:cs="Calibri"/>
                <w:color w:val="000000"/>
                <w:szCs w:val="18"/>
                <w:lang w:eastAsia="en-GB"/>
              </w:rPr>
              <w:t xml:space="preserve">3 </w:t>
            </w:r>
          </w:p>
        </w:tc>
      </w:tr>
      <w:tr w:rsidR="005D1B3A" w:rsidRPr="004D12D0" w14:paraId="75FDA52B" w14:textId="77777777" w:rsidTr="004206E3">
        <w:trPr>
          <w:trHeight w:hRule="exact" w:val="227"/>
        </w:trPr>
        <w:tc>
          <w:tcPr>
            <w:tcW w:w="443" w:type="pct"/>
            <w:vMerge/>
          </w:tcPr>
          <w:p w14:paraId="75FDA527" w14:textId="77777777" w:rsidR="005D1B3A" w:rsidRDefault="005D1B3A" w:rsidP="00150FE5"/>
        </w:tc>
        <w:tc>
          <w:tcPr>
            <w:tcW w:w="1305" w:type="pct"/>
            <w:vMerge/>
          </w:tcPr>
          <w:p w14:paraId="75FDA528" w14:textId="77777777" w:rsidR="005D1B3A" w:rsidRPr="004D12D0" w:rsidRDefault="005D1B3A" w:rsidP="00150FE5">
            <w:pPr>
              <w:rPr>
                <w:szCs w:val="18"/>
              </w:rPr>
            </w:pPr>
          </w:p>
        </w:tc>
        <w:tc>
          <w:tcPr>
            <w:tcW w:w="2117" w:type="pct"/>
            <w:vAlign w:val="bottom"/>
            <w:hideMark/>
          </w:tcPr>
          <w:p w14:paraId="75FDA529" w14:textId="46B73AE7"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2 </w:t>
            </w:r>
            <w:r w:rsidR="00420B7A" w:rsidRPr="004D12D0">
              <w:rPr>
                <w:rFonts w:cs="Calibri"/>
                <w:color w:val="000000"/>
                <w:szCs w:val="18"/>
                <w:lang w:eastAsia="en-GB"/>
              </w:rPr>
              <w:t>Verenigd Koninkrijk</w:t>
            </w:r>
          </w:p>
        </w:tc>
        <w:tc>
          <w:tcPr>
            <w:tcW w:w="1135" w:type="pct"/>
            <w:vAlign w:val="bottom"/>
          </w:tcPr>
          <w:p w14:paraId="75FDA52A" w14:textId="29409C7A"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9</w:t>
            </w:r>
            <w:r w:rsidR="00420B7A" w:rsidRPr="00CC0714">
              <w:rPr>
                <w:rFonts w:cs="Calibri"/>
                <w:color w:val="000000"/>
                <w:szCs w:val="18"/>
                <w:lang w:eastAsia="en-GB"/>
              </w:rPr>
              <w:t>,</w:t>
            </w:r>
            <w:r w:rsidRPr="00CC0714">
              <w:rPr>
                <w:rFonts w:cs="Calibri"/>
                <w:color w:val="000000"/>
                <w:szCs w:val="18"/>
                <w:lang w:eastAsia="en-GB"/>
              </w:rPr>
              <w:t xml:space="preserve">4 </w:t>
            </w:r>
          </w:p>
        </w:tc>
      </w:tr>
      <w:tr w:rsidR="005D1B3A" w:rsidRPr="004D12D0" w14:paraId="75FDA530" w14:textId="77777777" w:rsidTr="004206E3">
        <w:trPr>
          <w:trHeight w:hRule="exact" w:val="227"/>
        </w:trPr>
        <w:tc>
          <w:tcPr>
            <w:tcW w:w="443" w:type="pct"/>
            <w:vMerge/>
          </w:tcPr>
          <w:p w14:paraId="75FDA52C" w14:textId="77777777" w:rsidR="005D1B3A" w:rsidRDefault="005D1B3A" w:rsidP="00150FE5"/>
        </w:tc>
        <w:tc>
          <w:tcPr>
            <w:tcW w:w="1305" w:type="pct"/>
            <w:vMerge/>
          </w:tcPr>
          <w:p w14:paraId="75FDA52D" w14:textId="77777777" w:rsidR="005D1B3A" w:rsidRPr="004D12D0" w:rsidRDefault="005D1B3A" w:rsidP="00150FE5">
            <w:pPr>
              <w:rPr>
                <w:szCs w:val="18"/>
              </w:rPr>
            </w:pPr>
          </w:p>
        </w:tc>
        <w:tc>
          <w:tcPr>
            <w:tcW w:w="2117" w:type="pct"/>
            <w:vAlign w:val="bottom"/>
            <w:hideMark/>
          </w:tcPr>
          <w:p w14:paraId="75FDA52E" w14:textId="44064570" w:rsidR="005D1B3A" w:rsidRPr="004D12D0" w:rsidRDefault="005D1B3A" w:rsidP="00150FE5">
            <w:pPr>
              <w:spacing w:line="240" w:lineRule="auto"/>
              <w:rPr>
                <w:rFonts w:cs="Calibri"/>
                <w:color w:val="000000"/>
                <w:szCs w:val="18"/>
                <w:lang w:eastAsia="en-GB"/>
              </w:rPr>
            </w:pPr>
            <w:r>
              <w:rPr>
                <w:rFonts w:cs="Calibri"/>
                <w:color w:val="000000"/>
                <w:szCs w:val="18"/>
                <w:lang w:eastAsia="en-GB"/>
              </w:rPr>
              <w:t xml:space="preserve">3 </w:t>
            </w:r>
            <w:r w:rsidR="00420B7A">
              <w:rPr>
                <w:rFonts w:cs="Calibri"/>
                <w:color w:val="000000"/>
                <w:lang w:eastAsia="en-GB"/>
              </w:rPr>
              <w:t>Europese</w:t>
            </w:r>
            <w:r w:rsidR="00420B7A" w:rsidRPr="004D12D0">
              <w:rPr>
                <w:rFonts w:cs="Calibri"/>
                <w:color w:val="000000"/>
                <w:lang w:eastAsia="en-GB"/>
              </w:rPr>
              <w:t xml:space="preserve"> Uni</w:t>
            </w:r>
            <w:r w:rsidR="00420B7A">
              <w:rPr>
                <w:rFonts w:cs="Calibri"/>
                <w:color w:val="000000"/>
                <w:lang w:eastAsia="en-GB"/>
              </w:rPr>
              <w:t>e</w:t>
            </w:r>
          </w:p>
        </w:tc>
        <w:tc>
          <w:tcPr>
            <w:tcW w:w="1135" w:type="pct"/>
            <w:vAlign w:val="bottom"/>
          </w:tcPr>
          <w:p w14:paraId="75FDA52F" w14:textId="0B359D05" w:rsidR="005D1B3A" w:rsidRPr="00CC0714" w:rsidRDefault="005D1B3A" w:rsidP="00B432AA">
            <w:pPr>
              <w:spacing w:line="240" w:lineRule="auto"/>
              <w:jc w:val="right"/>
              <w:rPr>
                <w:rFonts w:cs="Calibri"/>
                <w:color w:val="000000"/>
                <w:szCs w:val="18"/>
                <w:lang w:eastAsia="en-GB"/>
              </w:rPr>
            </w:pPr>
            <w:r w:rsidRPr="00CC0714">
              <w:rPr>
                <w:rFonts w:cs="Calibri"/>
                <w:color w:val="000000"/>
                <w:szCs w:val="18"/>
                <w:lang w:eastAsia="en-GB"/>
              </w:rPr>
              <w:t>6</w:t>
            </w:r>
            <w:r w:rsidR="00420B7A" w:rsidRPr="00CC0714">
              <w:rPr>
                <w:rFonts w:cs="Calibri"/>
                <w:color w:val="000000"/>
                <w:szCs w:val="18"/>
                <w:lang w:eastAsia="en-GB"/>
              </w:rPr>
              <w:t>,</w:t>
            </w:r>
            <w:r w:rsidRPr="00CC0714">
              <w:rPr>
                <w:rFonts w:cs="Calibri"/>
                <w:color w:val="000000"/>
                <w:szCs w:val="18"/>
                <w:lang w:eastAsia="en-GB"/>
              </w:rPr>
              <w:t xml:space="preserve">3 </w:t>
            </w:r>
          </w:p>
        </w:tc>
      </w:tr>
      <w:tr w:rsidR="005D1B3A" w:rsidRPr="004D12D0" w14:paraId="75FDA535" w14:textId="77777777" w:rsidTr="004206E3">
        <w:trPr>
          <w:trHeight w:hRule="exact" w:val="227"/>
        </w:trPr>
        <w:tc>
          <w:tcPr>
            <w:tcW w:w="443" w:type="pct"/>
            <w:vMerge/>
          </w:tcPr>
          <w:p w14:paraId="75FDA531" w14:textId="77777777" w:rsidR="005D1B3A" w:rsidRDefault="005D1B3A" w:rsidP="00150FE5"/>
        </w:tc>
        <w:tc>
          <w:tcPr>
            <w:tcW w:w="1305" w:type="pct"/>
            <w:vMerge/>
          </w:tcPr>
          <w:p w14:paraId="75FDA532" w14:textId="77777777" w:rsidR="005D1B3A" w:rsidRPr="004D12D0" w:rsidRDefault="005D1B3A" w:rsidP="00150FE5">
            <w:pPr>
              <w:rPr>
                <w:szCs w:val="18"/>
              </w:rPr>
            </w:pPr>
          </w:p>
        </w:tc>
        <w:tc>
          <w:tcPr>
            <w:tcW w:w="2117" w:type="pct"/>
            <w:vAlign w:val="bottom"/>
          </w:tcPr>
          <w:p w14:paraId="75FDA533" w14:textId="639D48A2" w:rsidR="005D1B3A" w:rsidRPr="005D1B3A" w:rsidRDefault="00420B7A" w:rsidP="00150FE5">
            <w:pPr>
              <w:spacing w:line="240" w:lineRule="auto"/>
              <w:rPr>
                <w:rFonts w:cs="Calibri"/>
                <w:b/>
                <w:iCs/>
                <w:color w:val="000000"/>
                <w:szCs w:val="18"/>
                <w:lang w:eastAsia="en-GB"/>
              </w:rPr>
            </w:pPr>
            <w:r>
              <w:rPr>
                <w:rFonts w:cs="Calibri"/>
                <w:b/>
                <w:iCs/>
                <w:color w:val="000000"/>
                <w:szCs w:val="18"/>
                <w:lang w:eastAsia="en-GB"/>
              </w:rPr>
              <w:t xml:space="preserve">5 </w:t>
            </w:r>
            <w:r w:rsidR="005D1B3A" w:rsidRPr="005D1B3A">
              <w:rPr>
                <w:rFonts w:cs="Calibri"/>
                <w:b/>
                <w:iCs/>
                <w:color w:val="000000"/>
                <w:szCs w:val="18"/>
                <w:lang w:eastAsia="en-GB"/>
              </w:rPr>
              <w:t>Nederland</w:t>
            </w:r>
          </w:p>
        </w:tc>
        <w:tc>
          <w:tcPr>
            <w:tcW w:w="1135" w:type="pct"/>
            <w:vAlign w:val="bottom"/>
          </w:tcPr>
          <w:p w14:paraId="75FDA534" w14:textId="11C69660" w:rsidR="005D1B3A" w:rsidRPr="00CC0714" w:rsidRDefault="005D1B3A" w:rsidP="00B432AA">
            <w:pPr>
              <w:spacing w:line="240" w:lineRule="auto"/>
              <w:jc w:val="right"/>
              <w:rPr>
                <w:rFonts w:cs="Calibri"/>
                <w:iCs/>
                <w:color w:val="000000"/>
                <w:szCs w:val="18"/>
                <w:lang w:eastAsia="en-GB"/>
              </w:rPr>
            </w:pPr>
            <w:r w:rsidRPr="00CC0714">
              <w:rPr>
                <w:rFonts w:cs="Calibri"/>
                <w:iCs/>
                <w:color w:val="000000"/>
                <w:szCs w:val="18"/>
                <w:lang w:eastAsia="en-GB"/>
              </w:rPr>
              <w:t>3</w:t>
            </w:r>
            <w:r w:rsidR="00420B7A" w:rsidRPr="00CC0714">
              <w:rPr>
                <w:rFonts w:cs="Calibri"/>
                <w:iCs/>
                <w:color w:val="000000"/>
                <w:szCs w:val="18"/>
                <w:lang w:eastAsia="en-GB"/>
              </w:rPr>
              <w:t>,</w:t>
            </w:r>
            <w:r w:rsidRPr="00CC0714">
              <w:rPr>
                <w:rFonts w:cs="Calibri"/>
                <w:iCs/>
                <w:color w:val="000000"/>
                <w:szCs w:val="18"/>
                <w:lang w:eastAsia="en-GB"/>
              </w:rPr>
              <w:t xml:space="preserve">4 </w:t>
            </w:r>
          </w:p>
        </w:tc>
      </w:tr>
      <w:tr w:rsidR="00AE299D" w:rsidRPr="004D12D0" w14:paraId="75FDA541" w14:textId="77777777" w:rsidTr="004206E3">
        <w:tc>
          <w:tcPr>
            <w:tcW w:w="443" w:type="pct"/>
            <w:shd w:val="clear" w:color="auto" w:fill="D9D9D9"/>
          </w:tcPr>
          <w:p w14:paraId="75FDA53D" w14:textId="77777777" w:rsidR="00AE299D" w:rsidRDefault="00AE299D" w:rsidP="00150FE5">
            <w:pPr>
              <w:spacing w:line="240" w:lineRule="auto"/>
            </w:pPr>
          </w:p>
        </w:tc>
        <w:tc>
          <w:tcPr>
            <w:tcW w:w="1305" w:type="pct"/>
            <w:shd w:val="clear" w:color="auto" w:fill="D9D9D9"/>
          </w:tcPr>
          <w:p w14:paraId="75FDA53E" w14:textId="77777777" w:rsidR="00AE299D" w:rsidRDefault="00AE299D" w:rsidP="00150FE5">
            <w:pPr>
              <w:ind w:right="-211"/>
            </w:pPr>
          </w:p>
        </w:tc>
        <w:tc>
          <w:tcPr>
            <w:tcW w:w="2117" w:type="pct"/>
            <w:shd w:val="clear" w:color="auto" w:fill="D9D9D9"/>
          </w:tcPr>
          <w:p w14:paraId="75FDA53F" w14:textId="2F44E405" w:rsidR="00AE299D" w:rsidRPr="004D12D0" w:rsidRDefault="00AE299D" w:rsidP="00150FE5">
            <w:pPr>
              <w:ind w:right="-211"/>
            </w:pPr>
          </w:p>
        </w:tc>
        <w:tc>
          <w:tcPr>
            <w:tcW w:w="1135" w:type="pct"/>
            <w:shd w:val="clear" w:color="auto" w:fill="D9D9D9"/>
          </w:tcPr>
          <w:p w14:paraId="75FDA540" w14:textId="77777777" w:rsidR="00AE299D" w:rsidRPr="00CC0714" w:rsidRDefault="00AE299D" w:rsidP="00B432AA">
            <w:pPr>
              <w:tabs>
                <w:tab w:val="decimal" w:pos="1167"/>
              </w:tabs>
              <w:ind w:right="-211"/>
              <w:jc w:val="right"/>
            </w:pPr>
          </w:p>
        </w:tc>
      </w:tr>
      <w:tr w:rsidR="005D1B3A" w14:paraId="75FDA546" w14:textId="77777777" w:rsidTr="004206E3">
        <w:tc>
          <w:tcPr>
            <w:tcW w:w="443" w:type="pct"/>
            <w:vMerge w:val="restart"/>
            <w:hideMark/>
          </w:tcPr>
          <w:p w14:paraId="75FDA542" w14:textId="77777777" w:rsidR="005D1B3A" w:rsidRDefault="005D1B3A" w:rsidP="00150FE5">
            <w:pPr>
              <w:ind w:right="-211"/>
            </w:pPr>
            <w:r>
              <w:t>2016</w:t>
            </w:r>
          </w:p>
        </w:tc>
        <w:tc>
          <w:tcPr>
            <w:tcW w:w="1305" w:type="pct"/>
            <w:vMerge w:val="restart"/>
            <w:hideMark/>
          </w:tcPr>
          <w:p w14:paraId="75FDA543" w14:textId="77777777" w:rsidR="005D1B3A" w:rsidRDefault="005D1B3A" w:rsidP="00150FE5">
            <w:pPr>
              <w:ind w:right="-211"/>
            </w:pPr>
            <w:r w:rsidRPr="00A13499">
              <w:rPr>
                <w:i/>
              </w:rPr>
              <w:t>Core</w:t>
            </w:r>
            <w:r>
              <w:t>-bijdrage</w:t>
            </w:r>
          </w:p>
        </w:tc>
        <w:tc>
          <w:tcPr>
            <w:tcW w:w="2117" w:type="pct"/>
            <w:vAlign w:val="bottom"/>
            <w:hideMark/>
          </w:tcPr>
          <w:p w14:paraId="75FDA544" w14:textId="019B47D9" w:rsidR="005D1B3A" w:rsidRPr="004D12D0" w:rsidRDefault="005D1B3A" w:rsidP="00150FE5">
            <w:pPr>
              <w:spacing w:line="240" w:lineRule="auto"/>
              <w:rPr>
                <w:rFonts w:cs="Calibri"/>
                <w:color w:val="000000"/>
                <w:lang w:eastAsia="en-GB"/>
              </w:rPr>
            </w:pPr>
            <w:r>
              <w:rPr>
                <w:rFonts w:cs="Calibri"/>
                <w:color w:val="000000"/>
                <w:lang w:eastAsia="en-GB"/>
              </w:rPr>
              <w:t xml:space="preserve">1 </w:t>
            </w:r>
            <w:r w:rsidR="00420B7A">
              <w:rPr>
                <w:rFonts w:cs="Calibri"/>
                <w:color w:val="000000"/>
                <w:lang w:eastAsia="en-GB"/>
              </w:rPr>
              <w:t>V</w:t>
            </w:r>
            <w:r w:rsidRPr="004D12D0">
              <w:rPr>
                <w:rFonts w:cs="Calibri"/>
                <w:color w:val="000000"/>
                <w:lang w:eastAsia="en-GB"/>
              </w:rPr>
              <w:t>N/WTO</w:t>
            </w:r>
          </w:p>
        </w:tc>
        <w:tc>
          <w:tcPr>
            <w:tcW w:w="1135" w:type="pct"/>
            <w:vAlign w:val="bottom"/>
          </w:tcPr>
          <w:p w14:paraId="75FDA545" w14:textId="7A8D9D8A" w:rsidR="005D1B3A" w:rsidRPr="00CC0714" w:rsidRDefault="005D1B3A" w:rsidP="00B432AA">
            <w:pPr>
              <w:spacing w:line="240" w:lineRule="auto"/>
              <w:jc w:val="right"/>
              <w:rPr>
                <w:rFonts w:cs="Calibri"/>
                <w:lang w:eastAsia="en-GB"/>
              </w:rPr>
            </w:pPr>
            <w:r w:rsidRPr="00CC0714">
              <w:rPr>
                <w:rFonts w:cs="Calibri"/>
                <w:lang w:eastAsia="en-GB"/>
              </w:rPr>
              <w:t>35</w:t>
            </w:r>
            <w:r w:rsidR="00420B7A" w:rsidRPr="00CC0714">
              <w:rPr>
                <w:rFonts w:cs="Calibri"/>
                <w:lang w:eastAsia="en-GB"/>
              </w:rPr>
              <w:t>,</w:t>
            </w:r>
            <w:r w:rsidRPr="00CC0714">
              <w:rPr>
                <w:rFonts w:cs="Calibri"/>
                <w:lang w:eastAsia="en-GB"/>
              </w:rPr>
              <w:t xml:space="preserve">9 </w:t>
            </w:r>
          </w:p>
        </w:tc>
      </w:tr>
      <w:tr w:rsidR="005D1B3A" w14:paraId="75FDA54B" w14:textId="77777777" w:rsidTr="004206E3">
        <w:tc>
          <w:tcPr>
            <w:tcW w:w="443" w:type="pct"/>
            <w:vMerge/>
          </w:tcPr>
          <w:p w14:paraId="75FDA547" w14:textId="77777777" w:rsidR="005D1B3A" w:rsidRDefault="005D1B3A" w:rsidP="00150FE5">
            <w:pPr>
              <w:ind w:right="-211"/>
            </w:pPr>
          </w:p>
        </w:tc>
        <w:tc>
          <w:tcPr>
            <w:tcW w:w="1305" w:type="pct"/>
            <w:vMerge/>
          </w:tcPr>
          <w:p w14:paraId="75FDA548" w14:textId="77777777" w:rsidR="005D1B3A" w:rsidRDefault="005D1B3A" w:rsidP="00150FE5">
            <w:pPr>
              <w:ind w:right="-211"/>
            </w:pPr>
          </w:p>
        </w:tc>
        <w:tc>
          <w:tcPr>
            <w:tcW w:w="2117" w:type="pct"/>
            <w:vAlign w:val="bottom"/>
            <w:hideMark/>
          </w:tcPr>
          <w:p w14:paraId="75FDA549" w14:textId="29320FAE" w:rsidR="005D1B3A" w:rsidRPr="004D12D0" w:rsidRDefault="005D1B3A" w:rsidP="00150FE5">
            <w:pPr>
              <w:spacing w:line="240" w:lineRule="auto"/>
              <w:rPr>
                <w:rFonts w:cs="Calibri"/>
                <w:color w:val="000000"/>
                <w:lang w:eastAsia="en-GB"/>
              </w:rPr>
            </w:pPr>
            <w:r>
              <w:rPr>
                <w:rFonts w:cs="Calibri"/>
                <w:color w:val="000000"/>
                <w:lang w:eastAsia="en-GB"/>
              </w:rPr>
              <w:t xml:space="preserve">2 </w:t>
            </w:r>
            <w:r w:rsidR="00420B7A">
              <w:rPr>
                <w:rFonts w:cs="Calibri"/>
                <w:color w:val="000000"/>
                <w:lang w:eastAsia="en-GB"/>
              </w:rPr>
              <w:t>Z</w:t>
            </w:r>
            <w:r w:rsidRPr="004D12D0">
              <w:rPr>
                <w:rFonts w:cs="Calibri"/>
                <w:color w:val="000000"/>
                <w:lang w:eastAsia="en-GB"/>
              </w:rPr>
              <w:t>weden</w:t>
            </w:r>
          </w:p>
        </w:tc>
        <w:tc>
          <w:tcPr>
            <w:tcW w:w="1135" w:type="pct"/>
            <w:vAlign w:val="bottom"/>
          </w:tcPr>
          <w:p w14:paraId="75FDA54A" w14:textId="7E05FDB1" w:rsidR="005D1B3A" w:rsidRPr="00CC0714" w:rsidRDefault="005D1B3A" w:rsidP="00B432AA">
            <w:pPr>
              <w:spacing w:line="240" w:lineRule="auto"/>
              <w:jc w:val="right"/>
              <w:rPr>
                <w:rFonts w:cs="Calibri"/>
                <w:lang w:eastAsia="en-GB"/>
              </w:rPr>
            </w:pPr>
            <w:r w:rsidRPr="00CC0714">
              <w:rPr>
                <w:rFonts w:cs="Calibri"/>
                <w:lang w:eastAsia="en-GB"/>
              </w:rPr>
              <w:t>3</w:t>
            </w:r>
            <w:r w:rsidR="00420B7A" w:rsidRPr="00CC0714">
              <w:rPr>
                <w:rFonts w:cs="Calibri"/>
                <w:lang w:eastAsia="en-GB"/>
              </w:rPr>
              <w:t>,</w:t>
            </w:r>
            <w:r w:rsidRPr="00CC0714">
              <w:rPr>
                <w:rFonts w:cs="Calibri"/>
                <w:lang w:eastAsia="en-GB"/>
              </w:rPr>
              <w:t xml:space="preserve">5 </w:t>
            </w:r>
          </w:p>
        </w:tc>
      </w:tr>
      <w:tr w:rsidR="005D1B3A" w14:paraId="75FDA550" w14:textId="77777777" w:rsidTr="004206E3">
        <w:tc>
          <w:tcPr>
            <w:tcW w:w="443" w:type="pct"/>
            <w:vMerge/>
          </w:tcPr>
          <w:p w14:paraId="75FDA54C" w14:textId="77777777" w:rsidR="005D1B3A" w:rsidRDefault="005D1B3A" w:rsidP="00150FE5">
            <w:pPr>
              <w:ind w:right="-211"/>
            </w:pPr>
          </w:p>
        </w:tc>
        <w:tc>
          <w:tcPr>
            <w:tcW w:w="1305" w:type="pct"/>
            <w:vMerge/>
          </w:tcPr>
          <w:p w14:paraId="75FDA54D" w14:textId="77777777" w:rsidR="005D1B3A" w:rsidRDefault="005D1B3A" w:rsidP="00150FE5">
            <w:pPr>
              <w:ind w:right="-211"/>
            </w:pPr>
          </w:p>
        </w:tc>
        <w:tc>
          <w:tcPr>
            <w:tcW w:w="2117" w:type="pct"/>
            <w:vAlign w:val="bottom"/>
            <w:hideMark/>
          </w:tcPr>
          <w:p w14:paraId="75FDA54E" w14:textId="5E3832F1" w:rsidR="005D1B3A" w:rsidRPr="004D12D0" w:rsidRDefault="005D1B3A" w:rsidP="00150FE5">
            <w:pPr>
              <w:spacing w:line="240" w:lineRule="auto"/>
              <w:rPr>
                <w:rFonts w:cs="Calibri"/>
                <w:color w:val="000000"/>
                <w:lang w:eastAsia="en-GB"/>
              </w:rPr>
            </w:pPr>
            <w:r>
              <w:rPr>
                <w:rFonts w:cs="Calibri"/>
                <w:color w:val="000000"/>
                <w:lang w:eastAsia="en-GB"/>
              </w:rPr>
              <w:t xml:space="preserve">3 </w:t>
            </w:r>
            <w:r w:rsidRPr="004D12D0">
              <w:rPr>
                <w:rFonts w:cs="Calibri"/>
                <w:color w:val="000000"/>
                <w:lang w:eastAsia="en-GB"/>
              </w:rPr>
              <w:t>Finland</w:t>
            </w:r>
          </w:p>
        </w:tc>
        <w:tc>
          <w:tcPr>
            <w:tcW w:w="1135" w:type="pct"/>
            <w:vAlign w:val="bottom"/>
          </w:tcPr>
          <w:p w14:paraId="75FDA54F" w14:textId="25DACD85" w:rsidR="005D1B3A" w:rsidRPr="00CC0714" w:rsidRDefault="005D1B3A" w:rsidP="00B432AA">
            <w:pPr>
              <w:spacing w:line="240" w:lineRule="auto"/>
              <w:jc w:val="right"/>
              <w:rPr>
                <w:rFonts w:cs="Calibri"/>
                <w:lang w:eastAsia="en-GB"/>
              </w:rPr>
            </w:pPr>
            <w:r w:rsidRPr="00CC0714">
              <w:rPr>
                <w:rFonts w:cs="Calibri"/>
                <w:lang w:eastAsia="en-GB"/>
              </w:rPr>
              <w:t>3</w:t>
            </w:r>
            <w:r w:rsidR="00420B7A" w:rsidRPr="00CC0714">
              <w:rPr>
                <w:rFonts w:cs="Calibri"/>
                <w:lang w:eastAsia="en-GB"/>
              </w:rPr>
              <w:t>,</w:t>
            </w:r>
            <w:r w:rsidRPr="00CC0714">
              <w:rPr>
                <w:rFonts w:cs="Calibri"/>
                <w:lang w:eastAsia="en-GB"/>
              </w:rPr>
              <w:t xml:space="preserve">4 </w:t>
            </w:r>
          </w:p>
        </w:tc>
      </w:tr>
      <w:tr w:rsidR="005D1B3A" w14:paraId="75FDA555" w14:textId="77777777" w:rsidTr="004206E3">
        <w:tc>
          <w:tcPr>
            <w:tcW w:w="443" w:type="pct"/>
            <w:vMerge/>
          </w:tcPr>
          <w:p w14:paraId="75FDA551" w14:textId="77777777" w:rsidR="005D1B3A" w:rsidRDefault="005D1B3A" w:rsidP="00150FE5">
            <w:pPr>
              <w:ind w:right="-211"/>
            </w:pPr>
          </w:p>
        </w:tc>
        <w:tc>
          <w:tcPr>
            <w:tcW w:w="1305" w:type="pct"/>
            <w:vMerge w:val="restart"/>
            <w:hideMark/>
          </w:tcPr>
          <w:p w14:paraId="75FDA552" w14:textId="77777777" w:rsidR="005D1B3A" w:rsidRDefault="005D1B3A" w:rsidP="00150FE5">
            <w:pPr>
              <w:ind w:right="-211"/>
            </w:pPr>
            <w:r w:rsidRPr="00A13499">
              <w:rPr>
                <w:i/>
              </w:rPr>
              <w:t>Non-core</w:t>
            </w:r>
            <w:r>
              <w:t>-bijdragen</w:t>
            </w:r>
          </w:p>
        </w:tc>
        <w:tc>
          <w:tcPr>
            <w:tcW w:w="2117" w:type="pct"/>
            <w:vAlign w:val="bottom"/>
            <w:hideMark/>
          </w:tcPr>
          <w:p w14:paraId="75FDA553" w14:textId="406F0DE5" w:rsidR="005D1B3A" w:rsidRPr="004D12D0" w:rsidRDefault="005D1B3A" w:rsidP="00150FE5">
            <w:pPr>
              <w:spacing w:line="240" w:lineRule="auto"/>
              <w:rPr>
                <w:rFonts w:cs="Calibri"/>
                <w:color w:val="000000"/>
                <w:lang w:eastAsia="en-GB"/>
              </w:rPr>
            </w:pPr>
            <w:r>
              <w:rPr>
                <w:rFonts w:cs="Calibri"/>
                <w:color w:val="000000"/>
                <w:lang w:eastAsia="en-GB"/>
              </w:rPr>
              <w:t xml:space="preserve">1 </w:t>
            </w:r>
            <w:r w:rsidR="00420B7A">
              <w:rPr>
                <w:rFonts w:cs="Calibri"/>
                <w:color w:val="000000"/>
                <w:lang w:eastAsia="en-GB"/>
              </w:rPr>
              <w:t>Europese</w:t>
            </w:r>
            <w:r w:rsidR="00420B7A" w:rsidRPr="004D12D0">
              <w:rPr>
                <w:rFonts w:cs="Calibri"/>
                <w:color w:val="000000"/>
                <w:lang w:eastAsia="en-GB"/>
              </w:rPr>
              <w:t xml:space="preserve"> Uni</w:t>
            </w:r>
            <w:r w:rsidR="00420B7A">
              <w:rPr>
                <w:rFonts w:cs="Calibri"/>
                <w:color w:val="000000"/>
                <w:lang w:eastAsia="en-GB"/>
              </w:rPr>
              <w:t>e</w:t>
            </w:r>
          </w:p>
        </w:tc>
        <w:tc>
          <w:tcPr>
            <w:tcW w:w="1135" w:type="pct"/>
            <w:vAlign w:val="bottom"/>
          </w:tcPr>
          <w:p w14:paraId="75FDA554" w14:textId="2B3B6D12" w:rsidR="005D1B3A" w:rsidRPr="00CC0714" w:rsidRDefault="00420B7A" w:rsidP="00B432AA">
            <w:pPr>
              <w:spacing w:line="240" w:lineRule="auto"/>
              <w:jc w:val="right"/>
              <w:rPr>
                <w:rFonts w:cs="Calibri"/>
                <w:lang w:eastAsia="en-GB"/>
              </w:rPr>
            </w:pPr>
            <w:r w:rsidRPr="00CC0714">
              <w:rPr>
                <w:rFonts w:cs="Calibri"/>
                <w:lang w:eastAsia="en-GB"/>
              </w:rPr>
              <w:t>15,</w:t>
            </w:r>
            <w:r w:rsidR="005D1B3A" w:rsidRPr="00CC0714">
              <w:rPr>
                <w:rFonts w:cs="Calibri"/>
                <w:lang w:eastAsia="en-GB"/>
              </w:rPr>
              <w:t xml:space="preserve">5 </w:t>
            </w:r>
          </w:p>
        </w:tc>
      </w:tr>
      <w:tr w:rsidR="005D1B3A" w14:paraId="75FDA55A" w14:textId="77777777" w:rsidTr="004206E3">
        <w:tc>
          <w:tcPr>
            <w:tcW w:w="443" w:type="pct"/>
            <w:vMerge/>
          </w:tcPr>
          <w:p w14:paraId="75FDA556" w14:textId="77777777" w:rsidR="005D1B3A" w:rsidRDefault="005D1B3A" w:rsidP="00150FE5">
            <w:pPr>
              <w:ind w:right="-211"/>
            </w:pPr>
          </w:p>
        </w:tc>
        <w:tc>
          <w:tcPr>
            <w:tcW w:w="1305" w:type="pct"/>
            <w:vMerge/>
          </w:tcPr>
          <w:p w14:paraId="75FDA557" w14:textId="77777777" w:rsidR="005D1B3A" w:rsidRDefault="005D1B3A" w:rsidP="00150FE5">
            <w:pPr>
              <w:ind w:right="-211"/>
            </w:pPr>
          </w:p>
        </w:tc>
        <w:tc>
          <w:tcPr>
            <w:tcW w:w="2117" w:type="pct"/>
            <w:vAlign w:val="bottom"/>
            <w:hideMark/>
          </w:tcPr>
          <w:p w14:paraId="75FDA558" w14:textId="51A39282" w:rsidR="005D1B3A" w:rsidRPr="004D12D0" w:rsidRDefault="005D1B3A" w:rsidP="00150FE5">
            <w:pPr>
              <w:spacing w:line="240" w:lineRule="auto"/>
              <w:rPr>
                <w:rFonts w:cs="Calibri"/>
                <w:color w:val="000000"/>
                <w:lang w:eastAsia="en-GB"/>
              </w:rPr>
            </w:pPr>
            <w:r>
              <w:rPr>
                <w:rFonts w:cs="Calibri"/>
                <w:color w:val="000000"/>
                <w:lang w:eastAsia="en-GB"/>
              </w:rPr>
              <w:t xml:space="preserve">2 </w:t>
            </w:r>
            <w:r w:rsidR="00420B7A" w:rsidRPr="004D12D0">
              <w:rPr>
                <w:rFonts w:cs="Calibri"/>
                <w:color w:val="000000"/>
                <w:szCs w:val="18"/>
                <w:lang w:eastAsia="en-GB"/>
              </w:rPr>
              <w:t>Verenigd Koninkrijk</w:t>
            </w:r>
          </w:p>
        </w:tc>
        <w:tc>
          <w:tcPr>
            <w:tcW w:w="1135" w:type="pct"/>
            <w:vAlign w:val="bottom"/>
          </w:tcPr>
          <w:p w14:paraId="75FDA559" w14:textId="33A3CEB4" w:rsidR="005D1B3A" w:rsidRPr="00CC0714" w:rsidRDefault="00420B7A" w:rsidP="00B432AA">
            <w:pPr>
              <w:spacing w:line="240" w:lineRule="auto"/>
              <w:jc w:val="right"/>
              <w:rPr>
                <w:rFonts w:cs="Calibri"/>
                <w:lang w:eastAsia="en-GB"/>
              </w:rPr>
            </w:pPr>
            <w:r w:rsidRPr="00CC0714">
              <w:rPr>
                <w:rFonts w:cs="Calibri"/>
                <w:lang w:eastAsia="en-GB"/>
              </w:rPr>
              <w:t>10,</w:t>
            </w:r>
            <w:r w:rsidR="005D1B3A" w:rsidRPr="00CC0714">
              <w:rPr>
                <w:rFonts w:cs="Calibri"/>
                <w:lang w:eastAsia="en-GB"/>
              </w:rPr>
              <w:t xml:space="preserve">1 </w:t>
            </w:r>
          </w:p>
        </w:tc>
      </w:tr>
      <w:tr w:rsidR="005D1B3A" w14:paraId="75FDA55F" w14:textId="77777777" w:rsidTr="004206E3">
        <w:tc>
          <w:tcPr>
            <w:tcW w:w="443" w:type="pct"/>
            <w:vMerge/>
          </w:tcPr>
          <w:p w14:paraId="75FDA55B" w14:textId="77777777" w:rsidR="005D1B3A" w:rsidRDefault="005D1B3A" w:rsidP="00150FE5">
            <w:pPr>
              <w:ind w:right="-211"/>
            </w:pPr>
          </w:p>
        </w:tc>
        <w:tc>
          <w:tcPr>
            <w:tcW w:w="1305" w:type="pct"/>
            <w:vMerge/>
          </w:tcPr>
          <w:p w14:paraId="75FDA55C" w14:textId="77777777" w:rsidR="005D1B3A" w:rsidRDefault="005D1B3A" w:rsidP="00150FE5">
            <w:pPr>
              <w:ind w:right="-211"/>
            </w:pPr>
          </w:p>
        </w:tc>
        <w:tc>
          <w:tcPr>
            <w:tcW w:w="2117" w:type="pct"/>
            <w:vAlign w:val="bottom"/>
            <w:hideMark/>
          </w:tcPr>
          <w:p w14:paraId="75FDA55D" w14:textId="318BF6C2" w:rsidR="005D1B3A" w:rsidRPr="004D12D0" w:rsidRDefault="005D1B3A" w:rsidP="00150FE5">
            <w:pPr>
              <w:spacing w:line="240" w:lineRule="auto"/>
              <w:rPr>
                <w:rFonts w:cs="Calibri"/>
                <w:color w:val="000000"/>
                <w:lang w:eastAsia="en-GB"/>
              </w:rPr>
            </w:pPr>
            <w:r>
              <w:rPr>
                <w:rFonts w:cs="Calibri"/>
                <w:color w:val="000000"/>
                <w:lang w:eastAsia="en-GB"/>
              </w:rPr>
              <w:t xml:space="preserve">3 </w:t>
            </w:r>
            <w:r w:rsidR="00420B7A">
              <w:rPr>
                <w:rFonts w:cs="Calibri"/>
                <w:color w:val="000000"/>
                <w:lang w:eastAsia="en-GB"/>
              </w:rPr>
              <w:t>Z</w:t>
            </w:r>
            <w:r w:rsidRPr="004D12D0">
              <w:rPr>
                <w:rFonts w:cs="Calibri"/>
                <w:color w:val="000000"/>
                <w:lang w:eastAsia="en-GB"/>
              </w:rPr>
              <w:t>wit</w:t>
            </w:r>
            <w:r w:rsidR="00420B7A">
              <w:rPr>
                <w:rFonts w:cs="Calibri"/>
                <w:color w:val="000000"/>
                <w:lang w:eastAsia="en-GB"/>
              </w:rPr>
              <w:t>s</w:t>
            </w:r>
            <w:r w:rsidRPr="004D12D0">
              <w:rPr>
                <w:rFonts w:cs="Calibri"/>
                <w:color w:val="000000"/>
                <w:lang w:eastAsia="en-GB"/>
              </w:rPr>
              <w:t>erland</w:t>
            </w:r>
          </w:p>
        </w:tc>
        <w:tc>
          <w:tcPr>
            <w:tcW w:w="1135" w:type="pct"/>
            <w:vAlign w:val="bottom"/>
          </w:tcPr>
          <w:p w14:paraId="75FDA55E" w14:textId="4B129760" w:rsidR="005D1B3A" w:rsidRPr="00CC0714" w:rsidRDefault="00420B7A" w:rsidP="00B432AA">
            <w:pPr>
              <w:spacing w:line="240" w:lineRule="auto"/>
              <w:jc w:val="right"/>
              <w:rPr>
                <w:rFonts w:cs="Calibri"/>
                <w:lang w:eastAsia="en-GB"/>
              </w:rPr>
            </w:pPr>
            <w:r w:rsidRPr="00CC0714">
              <w:rPr>
                <w:rFonts w:cs="Calibri"/>
                <w:lang w:eastAsia="en-GB"/>
              </w:rPr>
              <w:t>2,</w:t>
            </w:r>
            <w:r w:rsidR="005D1B3A" w:rsidRPr="00CC0714">
              <w:rPr>
                <w:rFonts w:cs="Calibri"/>
                <w:lang w:eastAsia="en-GB"/>
              </w:rPr>
              <w:t xml:space="preserve">4 </w:t>
            </w:r>
          </w:p>
        </w:tc>
      </w:tr>
      <w:tr w:rsidR="005D1B3A" w14:paraId="75FDA564" w14:textId="77777777" w:rsidTr="004206E3">
        <w:tc>
          <w:tcPr>
            <w:tcW w:w="443" w:type="pct"/>
            <w:vMerge/>
          </w:tcPr>
          <w:p w14:paraId="75FDA560" w14:textId="77777777" w:rsidR="005D1B3A" w:rsidRDefault="005D1B3A" w:rsidP="00150FE5">
            <w:pPr>
              <w:ind w:right="-211"/>
            </w:pPr>
          </w:p>
        </w:tc>
        <w:tc>
          <w:tcPr>
            <w:tcW w:w="1305" w:type="pct"/>
            <w:vMerge/>
          </w:tcPr>
          <w:p w14:paraId="75FDA561" w14:textId="77777777" w:rsidR="005D1B3A" w:rsidRDefault="005D1B3A" w:rsidP="00150FE5">
            <w:pPr>
              <w:ind w:right="-211"/>
            </w:pPr>
          </w:p>
        </w:tc>
        <w:tc>
          <w:tcPr>
            <w:tcW w:w="2117" w:type="pct"/>
            <w:vAlign w:val="bottom"/>
          </w:tcPr>
          <w:p w14:paraId="75FDA562" w14:textId="40011DE0" w:rsidR="005D1B3A" w:rsidRPr="00712F9E" w:rsidRDefault="00420B7A" w:rsidP="00150FE5">
            <w:pPr>
              <w:spacing w:line="240" w:lineRule="auto"/>
              <w:rPr>
                <w:rFonts w:cs="Calibri"/>
                <w:b/>
                <w:iCs/>
                <w:color w:val="000000"/>
                <w:lang w:eastAsia="en-GB"/>
              </w:rPr>
            </w:pPr>
            <w:r>
              <w:rPr>
                <w:rFonts w:cs="Calibri"/>
                <w:b/>
                <w:iCs/>
                <w:color w:val="000000"/>
                <w:lang w:eastAsia="en-GB"/>
              </w:rPr>
              <w:t xml:space="preserve">4 </w:t>
            </w:r>
            <w:r w:rsidR="005D1B3A">
              <w:rPr>
                <w:rFonts w:cs="Calibri"/>
                <w:b/>
                <w:iCs/>
                <w:color w:val="000000"/>
                <w:lang w:eastAsia="en-GB"/>
              </w:rPr>
              <w:t>Nederland</w:t>
            </w:r>
          </w:p>
        </w:tc>
        <w:tc>
          <w:tcPr>
            <w:tcW w:w="1135" w:type="pct"/>
            <w:vAlign w:val="bottom"/>
          </w:tcPr>
          <w:p w14:paraId="75FDA563" w14:textId="6FFED8D7" w:rsidR="005D1B3A" w:rsidRPr="00CC0714" w:rsidRDefault="00420B7A" w:rsidP="00B432AA">
            <w:pPr>
              <w:spacing w:line="240" w:lineRule="auto"/>
              <w:jc w:val="right"/>
              <w:rPr>
                <w:rFonts w:cs="Calibri"/>
                <w:iCs/>
                <w:lang w:eastAsia="en-GB"/>
              </w:rPr>
            </w:pPr>
            <w:r w:rsidRPr="00CC0714">
              <w:rPr>
                <w:rFonts w:cs="Calibri"/>
                <w:iCs/>
                <w:lang w:eastAsia="en-GB"/>
              </w:rPr>
              <w:t>1,</w:t>
            </w:r>
            <w:r w:rsidR="005D1B3A" w:rsidRPr="00CC0714">
              <w:rPr>
                <w:rFonts w:cs="Calibri"/>
                <w:iCs/>
                <w:lang w:eastAsia="en-GB"/>
              </w:rPr>
              <w:t xml:space="preserve">7 </w:t>
            </w:r>
          </w:p>
        </w:tc>
      </w:tr>
      <w:tr w:rsidR="005D1B3A" w14:paraId="75FDA569" w14:textId="77777777" w:rsidTr="004206E3">
        <w:tc>
          <w:tcPr>
            <w:tcW w:w="443" w:type="pct"/>
            <w:vMerge/>
          </w:tcPr>
          <w:p w14:paraId="75FDA565" w14:textId="77777777" w:rsidR="005D1B3A" w:rsidRDefault="005D1B3A" w:rsidP="00150FE5">
            <w:pPr>
              <w:ind w:right="-211"/>
            </w:pPr>
          </w:p>
        </w:tc>
        <w:tc>
          <w:tcPr>
            <w:tcW w:w="1305" w:type="pct"/>
            <w:vMerge w:val="restart"/>
            <w:hideMark/>
          </w:tcPr>
          <w:p w14:paraId="75FDA566" w14:textId="77777777" w:rsidR="005D1B3A" w:rsidRDefault="005D1B3A" w:rsidP="00150FE5">
            <w:pPr>
              <w:ind w:right="-211"/>
            </w:pPr>
            <w:r>
              <w:t>Totaal bijdrage</w:t>
            </w:r>
          </w:p>
        </w:tc>
        <w:tc>
          <w:tcPr>
            <w:tcW w:w="2117" w:type="pct"/>
            <w:vAlign w:val="bottom"/>
            <w:hideMark/>
          </w:tcPr>
          <w:p w14:paraId="75FDA567" w14:textId="0997E384" w:rsidR="005D1B3A" w:rsidRPr="004D12D0" w:rsidRDefault="005D1B3A" w:rsidP="00150FE5">
            <w:pPr>
              <w:spacing w:line="240" w:lineRule="auto"/>
              <w:rPr>
                <w:rFonts w:cs="Calibri"/>
                <w:color w:val="000000"/>
                <w:lang w:eastAsia="en-GB"/>
              </w:rPr>
            </w:pPr>
            <w:r>
              <w:rPr>
                <w:rFonts w:cs="Calibri"/>
                <w:color w:val="000000"/>
                <w:lang w:eastAsia="en-GB"/>
              </w:rPr>
              <w:t xml:space="preserve">1 </w:t>
            </w:r>
            <w:r w:rsidR="00420B7A">
              <w:rPr>
                <w:rFonts w:cs="Calibri"/>
                <w:color w:val="000000"/>
                <w:lang w:eastAsia="en-GB"/>
              </w:rPr>
              <w:t>V</w:t>
            </w:r>
            <w:r w:rsidRPr="004D12D0">
              <w:rPr>
                <w:rFonts w:cs="Calibri"/>
                <w:color w:val="000000"/>
                <w:lang w:eastAsia="en-GB"/>
              </w:rPr>
              <w:t>N/WTO</w:t>
            </w:r>
          </w:p>
        </w:tc>
        <w:tc>
          <w:tcPr>
            <w:tcW w:w="1135" w:type="pct"/>
            <w:vAlign w:val="bottom"/>
          </w:tcPr>
          <w:p w14:paraId="75FDA568" w14:textId="6D313A7B" w:rsidR="005D1B3A" w:rsidRPr="00CC0714" w:rsidRDefault="005D1B3A" w:rsidP="00B432AA">
            <w:pPr>
              <w:spacing w:line="240" w:lineRule="auto"/>
              <w:jc w:val="right"/>
              <w:rPr>
                <w:rFonts w:cs="Calibri"/>
                <w:lang w:eastAsia="en-GB"/>
              </w:rPr>
            </w:pPr>
            <w:r w:rsidRPr="00CC0714">
              <w:rPr>
                <w:rFonts w:cs="Calibri"/>
                <w:lang w:eastAsia="en-GB"/>
              </w:rPr>
              <w:t>35</w:t>
            </w:r>
            <w:r w:rsidR="00420B7A" w:rsidRPr="00CC0714">
              <w:rPr>
                <w:rFonts w:cs="Calibri"/>
                <w:lang w:eastAsia="en-GB"/>
              </w:rPr>
              <w:t>,</w:t>
            </w:r>
            <w:r w:rsidRPr="00CC0714">
              <w:rPr>
                <w:rFonts w:cs="Calibri"/>
                <w:lang w:eastAsia="en-GB"/>
              </w:rPr>
              <w:t xml:space="preserve">9 </w:t>
            </w:r>
          </w:p>
        </w:tc>
      </w:tr>
      <w:tr w:rsidR="005D1B3A" w14:paraId="75FDA56E" w14:textId="77777777" w:rsidTr="004206E3">
        <w:tc>
          <w:tcPr>
            <w:tcW w:w="443" w:type="pct"/>
            <w:vMerge/>
          </w:tcPr>
          <w:p w14:paraId="75FDA56A" w14:textId="77777777" w:rsidR="005D1B3A" w:rsidRDefault="005D1B3A" w:rsidP="00150FE5">
            <w:pPr>
              <w:ind w:right="-211"/>
            </w:pPr>
          </w:p>
        </w:tc>
        <w:tc>
          <w:tcPr>
            <w:tcW w:w="1305" w:type="pct"/>
            <w:vMerge/>
          </w:tcPr>
          <w:p w14:paraId="75FDA56B" w14:textId="77777777" w:rsidR="005D1B3A" w:rsidRDefault="005D1B3A" w:rsidP="00150FE5">
            <w:pPr>
              <w:ind w:right="-211"/>
            </w:pPr>
          </w:p>
        </w:tc>
        <w:tc>
          <w:tcPr>
            <w:tcW w:w="2117" w:type="pct"/>
            <w:vAlign w:val="bottom"/>
            <w:hideMark/>
          </w:tcPr>
          <w:p w14:paraId="75FDA56C" w14:textId="301ABACE" w:rsidR="005D1B3A" w:rsidRPr="004D12D0" w:rsidRDefault="005D1B3A" w:rsidP="00150FE5">
            <w:pPr>
              <w:spacing w:line="240" w:lineRule="auto"/>
              <w:rPr>
                <w:rFonts w:cs="Calibri"/>
                <w:color w:val="000000"/>
                <w:lang w:eastAsia="en-GB"/>
              </w:rPr>
            </w:pPr>
            <w:r>
              <w:rPr>
                <w:rFonts w:cs="Calibri"/>
                <w:color w:val="000000"/>
                <w:lang w:eastAsia="en-GB"/>
              </w:rPr>
              <w:t>2 Europese</w:t>
            </w:r>
            <w:r w:rsidRPr="004D12D0">
              <w:rPr>
                <w:rFonts w:cs="Calibri"/>
                <w:color w:val="000000"/>
                <w:lang w:eastAsia="en-GB"/>
              </w:rPr>
              <w:t xml:space="preserve"> Uni</w:t>
            </w:r>
            <w:r>
              <w:rPr>
                <w:rFonts w:cs="Calibri"/>
                <w:color w:val="000000"/>
                <w:lang w:eastAsia="en-GB"/>
              </w:rPr>
              <w:t>e</w:t>
            </w:r>
          </w:p>
        </w:tc>
        <w:tc>
          <w:tcPr>
            <w:tcW w:w="1135" w:type="pct"/>
            <w:vAlign w:val="bottom"/>
          </w:tcPr>
          <w:p w14:paraId="75FDA56D" w14:textId="0FFC2464" w:rsidR="005D1B3A" w:rsidRPr="00CC0714" w:rsidRDefault="00420B7A" w:rsidP="00B432AA">
            <w:pPr>
              <w:spacing w:line="240" w:lineRule="auto"/>
              <w:jc w:val="right"/>
              <w:rPr>
                <w:rFonts w:cs="Calibri"/>
                <w:lang w:eastAsia="en-GB"/>
              </w:rPr>
            </w:pPr>
            <w:r w:rsidRPr="00CC0714">
              <w:rPr>
                <w:rFonts w:cs="Calibri"/>
                <w:lang w:eastAsia="en-GB"/>
              </w:rPr>
              <w:t>15,</w:t>
            </w:r>
            <w:r w:rsidR="005D1B3A" w:rsidRPr="00CC0714">
              <w:rPr>
                <w:rFonts w:cs="Calibri"/>
                <w:lang w:eastAsia="en-GB"/>
              </w:rPr>
              <w:t xml:space="preserve">5 </w:t>
            </w:r>
          </w:p>
        </w:tc>
      </w:tr>
      <w:tr w:rsidR="005D1B3A" w14:paraId="75FDA573" w14:textId="77777777" w:rsidTr="004206E3">
        <w:tc>
          <w:tcPr>
            <w:tcW w:w="443" w:type="pct"/>
            <w:vMerge/>
          </w:tcPr>
          <w:p w14:paraId="75FDA56F" w14:textId="77777777" w:rsidR="005D1B3A" w:rsidRDefault="005D1B3A" w:rsidP="00150FE5">
            <w:pPr>
              <w:ind w:right="-211"/>
            </w:pPr>
          </w:p>
        </w:tc>
        <w:tc>
          <w:tcPr>
            <w:tcW w:w="1305" w:type="pct"/>
            <w:vMerge/>
          </w:tcPr>
          <w:p w14:paraId="75FDA570" w14:textId="77777777" w:rsidR="005D1B3A" w:rsidRDefault="005D1B3A" w:rsidP="00150FE5">
            <w:pPr>
              <w:ind w:right="-211"/>
            </w:pPr>
          </w:p>
        </w:tc>
        <w:tc>
          <w:tcPr>
            <w:tcW w:w="2117" w:type="pct"/>
            <w:vAlign w:val="bottom"/>
            <w:hideMark/>
          </w:tcPr>
          <w:p w14:paraId="75FDA571" w14:textId="72A8E193" w:rsidR="005D1B3A" w:rsidRPr="004D12D0" w:rsidRDefault="005D1B3A" w:rsidP="00150FE5">
            <w:pPr>
              <w:spacing w:line="240" w:lineRule="auto"/>
              <w:rPr>
                <w:rFonts w:cs="Calibri"/>
                <w:color w:val="000000"/>
                <w:lang w:eastAsia="en-GB"/>
              </w:rPr>
            </w:pPr>
            <w:r>
              <w:rPr>
                <w:rFonts w:cs="Calibri"/>
                <w:color w:val="000000"/>
                <w:lang w:eastAsia="en-GB"/>
              </w:rPr>
              <w:t>3 Verenigd Koninkrijk</w:t>
            </w:r>
          </w:p>
        </w:tc>
        <w:tc>
          <w:tcPr>
            <w:tcW w:w="1135" w:type="pct"/>
            <w:vAlign w:val="bottom"/>
          </w:tcPr>
          <w:p w14:paraId="75FDA572" w14:textId="1C934C86" w:rsidR="005D1B3A" w:rsidRPr="00CC0714" w:rsidRDefault="00420B7A" w:rsidP="00B432AA">
            <w:pPr>
              <w:spacing w:line="240" w:lineRule="auto"/>
              <w:jc w:val="right"/>
              <w:rPr>
                <w:rFonts w:cs="Calibri"/>
                <w:lang w:eastAsia="en-GB"/>
              </w:rPr>
            </w:pPr>
            <w:r w:rsidRPr="00CC0714">
              <w:rPr>
                <w:rFonts w:cs="Calibri"/>
                <w:lang w:eastAsia="en-GB"/>
              </w:rPr>
              <w:t>10,</w:t>
            </w:r>
            <w:r w:rsidR="005D1B3A" w:rsidRPr="00CC0714">
              <w:rPr>
                <w:rFonts w:cs="Calibri"/>
                <w:lang w:eastAsia="en-GB"/>
              </w:rPr>
              <w:t xml:space="preserve">1 </w:t>
            </w:r>
          </w:p>
        </w:tc>
      </w:tr>
      <w:tr w:rsidR="005D1B3A" w14:paraId="75FDA578" w14:textId="77777777" w:rsidTr="004206E3">
        <w:tc>
          <w:tcPr>
            <w:tcW w:w="443" w:type="pct"/>
            <w:vMerge/>
          </w:tcPr>
          <w:p w14:paraId="75FDA574" w14:textId="77777777" w:rsidR="005D1B3A" w:rsidRDefault="005D1B3A" w:rsidP="00150FE5">
            <w:pPr>
              <w:ind w:right="-211"/>
            </w:pPr>
          </w:p>
        </w:tc>
        <w:tc>
          <w:tcPr>
            <w:tcW w:w="1305" w:type="pct"/>
            <w:vMerge/>
          </w:tcPr>
          <w:p w14:paraId="75FDA575" w14:textId="77777777" w:rsidR="005D1B3A" w:rsidRDefault="005D1B3A" w:rsidP="00150FE5">
            <w:pPr>
              <w:ind w:right="-211"/>
            </w:pPr>
          </w:p>
        </w:tc>
        <w:tc>
          <w:tcPr>
            <w:tcW w:w="2117" w:type="pct"/>
            <w:vAlign w:val="bottom"/>
          </w:tcPr>
          <w:p w14:paraId="75FDA576" w14:textId="671A75C9" w:rsidR="005D1B3A" w:rsidRPr="00712F9E" w:rsidRDefault="00CC0714" w:rsidP="00150FE5">
            <w:pPr>
              <w:spacing w:line="240" w:lineRule="auto"/>
              <w:rPr>
                <w:rFonts w:cs="Calibri"/>
                <w:b/>
                <w:iCs/>
                <w:color w:val="000000"/>
                <w:lang w:eastAsia="en-GB"/>
              </w:rPr>
            </w:pPr>
            <w:r>
              <w:rPr>
                <w:rFonts w:cs="Calibri"/>
                <w:b/>
                <w:iCs/>
                <w:color w:val="000000"/>
                <w:lang w:eastAsia="en-GB"/>
              </w:rPr>
              <w:t xml:space="preserve">8 </w:t>
            </w:r>
            <w:r w:rsidR="005D1B3A">
              <w:rPr>
                <w:rFonts w:cs="Calibri"/>
                <w:b/>
                <w:iCs/>
                <w:color w:val="000000"/>
                <w:lang w:eastAsia="en-GB"/>
              </w:rPr>
              <w:t>Nederland</w:t>
            </w:r>
          </w:p>
        </w:tc>
        <w:tc>
          <w:tcPr>
            <w:tcW w:w="1135" w:type="pct"/>
            <w:vAlign w:val="bottom"/>
          </w:tcPr>
          <w:p w14:paraId="75FDA577" w14:textId="501F58F1" w:rsidR="005D1B3A" w:rsidRPr="00CC0714" w:rsidRDefault="005D1B3A" w:rsidP="00B432AA">
            <w:pPr>
              <w:spacing w:line="240" w:lineRule="auto"/>
              <w:jc w:val="right"/>
              <w:rPr>
                <w:rFonts w:cs="Calibri"/>
                <w:iCs/>
                <w:lang w:eastAsia="en-GB"/>
              </w:rPr>
            </w:pPr>
            <w:r w:rsidRPr="00CC0714">
              <w:rPr>
                <w:rFonts w:cs="Calibri"/>
                <w:iCs/>
                <w:lang w:eastAsia="en-GB"/>
              </w:rPr>
              <w:t>1</w:t>
            </w:r>
            <w:r w:rsidR="00420B7A" w:rsidRPr="00CC0714">
              <w:rPr>
                <w:rFonts w:cs="Calibri"/>
                <w:iCs/>
                <w:lang w:eastAsia="en-GB"/>
              </w:rPr>
              <w:t>,</w:t>
            </w:r>
            <w:r w:rsidRPr="00CC0714">
              <w:rPr>
                <w:rFonts w:cs="Calibri"/>
                <w:iCs/>
                <w:lang w:eastAsia="en-GB"/>
              </w:rPr>
              <w:t xml:space="preserve">7 </w:t>
            </w:r>
          </w:p>
        </w:tc>
      </w:tr>
    </w:tbl>
    <w:p w14:paraId="75FDA57A" w14:textId="02EACB74" w:rsidR="00AE299D" w:rsidRDefault="00712F9E" w:rsidP="00150FE5">
      <w:pPr>
        <w:pStyle w:val="Heading1"/>
        <w:tabs>
          <w:tab w:val="num" w:pos="0"/>
        </w:tabs>
        <w:spacing w:after="240" w:line="240" w:lineRule="auto"/>
        <w:ind w:hanging="1162"/>
      </w:pPr>
      <w:bookmarkStart w:id="31" w:name="_Toc491439384"/>
      <w:r>
        <w:lastRenderedPageBreak/>
        <w:t>4</w:t>
      </w:r>
      <w:r w:rsidR="00AE299D">
        <w:t xml:space="preserve"> </w:t>
      </w:r>
      <w:r w:rsidR="00AE299D">
        <w:tab/>
        <w:t>Institutionele aspecten en functioneren van de organisatie</w:t>
      </w:r>
      <w:bookmarkEnd w:id="31"/>
    </w:p>
    <w:p w14:paraId="5C88FF38" w14:textId="77777777" w:rsidR="00712F9E" w:rsidRPr="00712F9E" w:rsidRDefault="00712F9E" w:rsidP="00150FE5">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2867BC01" w14:textId="77777777" w:rsidR="00712F9E" w:rsidRPr="00712F9E" w:rsidRDefault="00712F9E" w:rsidP="00150FE5">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75FDA57B" w14:textId="16510BBE" w:rsidR="00AE299D" w:rsidRPr="004D372F" w:rsidRDefault="00CC1092" w:rsidP="00150FE5">
      <w:pPr>
        <w:pStyle w:val="Heading2"/>
        <w:numPr>
          <w:ilvl w:val="1"/>
          <w:numId w:val="20"/>
        </w:numPr>
        <w:tabs>
          <w:tab w:val="left" w:pos="-1162"/>
          <w:tab w:val="left" w:pos="0"/>
        </w:tabs>
        <w:spacing w:line="240" w:lineRule="auto"/>
      </w:pPr>
      <w:r>
        <w:t xml:space="preserve">             </w:t>
      </w:r>
      <w:bookmarkStart w:id="32" w:name="_Toc491439385"/>
      <w:r w:rsidR="00AE299D">
        <w:t>Strategie en verantwoording</w:t>
      </w:r>
      <w:bookmarkEnd w:id="32"/>
    </w:p>
    <w:p w14:paraId="75FDA57C" w14:textId="71AC503B" w:rsidR="00AE299D" w:rsidRPr="00813E85" w:rsidRDefault="00AE299D" w:rsidP="00150FE5">
      <w:pPr>
        <w:spacing w:after="100" w:afterAutospacing="1" w:line="240" w:lineRule="auto"/>
        <w:rPr>
          <w:szCs w:val="18"/>
        </w:rPr>
      </w:pPr>
      <w:r w:rsidRPr="00813E85">
        <w:rPr>
          <w:szCs w:val="18"/>
        </w:rPr>
        <w:t xml:space="preserve">ITC heeft een duidelijk mandaat dat zich beperkt tot </w:t>
      </w:r>
      <w:r>
        <w:rPr>
          <w:szCs w:val="18"/>
        </w:rPr>
        <w:t xml:space="preserve">samenwerking en het </w:t>
      </w:r>
      <w:r w:rsidRPr="00813E85">
        <w:rPr>
          <w:szCs w:val="18"/>
        </w:rPr>
        <w:t xml:space="preserve">verlenen van technische assistentie </w:t>
      </w:r>
      <w:r w:rsidRPr="00A00AB9">
        <w:rPr>
          <w:szCs w:val="18"/>
        </w:rPr>
        <w:t>voor handel en intern</w:t>
      </w:r>
      <w:r w:rsidR="00F6424A">
        <w:rPr>
          <w:szCs w:val="18"/>
        </w:rPr>
        <w:t>ationaal ondernemerschap (ECOSOC</w:t>
      </w:r>
      <w:r w:rsidRPr="00A00AB9">
        <w:rPr>
          <w:szCs w:val="18"/>
        </w:rPr>
        <w:t xml:space="preserve"> Resolutie 1819 (LV)). </w:t>
      </w:r>
      <w:r w:rsidRPr="00813E85">
        <w:rPr>
          <w:szCs w:val="18"/>
        </w:rPr>
        <w:t xml:space="preserve">ITC houdt zich aan het mandaat. </w:t>
      </w:r>
    </w:p>
    <w:p w14:paraId="75FDA57D" w14:textId="4624026B" w:rsidR="00AE299D" w:rsidRPr="00A00AB9" w:rsidRDefault="00AE299D" w:rsidP="00150FE5">
      <w:pPr>
        <w:spacing w:before="100" w:beforeAutospacing="1" w:after="100" w:afterAutospacing="1" w:line="240" w:lineRule="auto"/>
        <w:rPr>
          <w:szCs w:val="18"/>
        </w:rPr>
      </w:pPr>
      <w:r w:rsidRPr="00813E85">
        <w:rPr>
          <w:szCs w:val="18"/>
        </w:rPr>
        <w:t xml:space="preserve">Het </w:t>
      </w:r>
      <w:r w:rsidRPr="00A00AB9">
        <w:rPr>
          <w:szCs w:val="18"/>
        </w:rPr>
        <w:t xml:space="preserve">huidig </w:t>
      </w:r>
      <w:r w:rsidRPr="00813E85">
        <w:rPr>
          <w:szCs w:val="18"/>
        </w:rPr>
        <w:t xml:space="preserve">strategische plan </w:t>
      </w:r>
      <w:r w:rsidRPr="00A00AB9">
        <w:rPr>
          <w:szCs w:val="18"/>
        </w:rPr>
        <w:t>2</w:t>
      </w:r>
      <w:r w:rsidRPr="00813E85">
        <w:rPr>
          <w:szCs w:val="18"/>
        </w:rPr>
        <w:t xml:space="preserve">015-2017 </w:t>
      </w:r>
      <w:r w:rsidRPr="00A00AB9">
        <w:rPr>
          <w:szCs w:val="18"/>
        </w:rPr>
        <w:t xml:space="preserve">van ITC benoemt </w:t>
      </w:r>
      <w:r w:rsidRPr="00813E85">
        <w:rPr>
          <w:szCs w:val="18"/>
        </w:rPr>
        <w:t xml:space="preserve">6 focusgebieden </w:t>
      </w:r>
      <w:r w:rsidRPr="00A00AB9">
        <w:rPr>
          <w:szCs w:val="18"/>
        </w:rPr>
        <w:t xml:space="preserve">die </w:t>
      </w:r>
      <w:r>
        <w:rPr>
          <w:szCs w:val="18"/>
        </w:rPr>
        <w:t xml:space="preserve">gekoppeld zijn aan de Duurzame Ontwikkelingsdoelen en </w:t>
      </w:r>
      <w:r w:rsidRPr="00A00AB9">
        <w:rPr>
          <w:szCs w:val="18"/>
        </w:rPr>
        <w:t xml:space="preserve">de basis vormen voor </w:t>
      </w:r>
      <w:r>
        <w:rPr>
          <w:szCs w:val="18"/>
        </w:rPr>
        <w:t>de ITC</w:t>
      </w:r>
      <w:r w:rsidRPr="00A00AB9">
        <w:rPr>
          <w:szCs w:val="18"/>
        </w:rPr>
        <w:t xml:space="preserve"> programma’s. De focusgebieden zij</w:t>
      </w:r>
      <w:r>
        <w:rPr>
          <w:szCs w:val="18"/>
        </w:rPr>
        <w:t>n:</w:t>
      </w:r>
    </w:p>
    <w:p w14:paraId="75FDA57E" w14:textId="77777777" w:rsidR="00AE299D" w:rsidRPr="00A00AB9" w:rsidRDefault="00AE299D" w:rsidP="00150FE5">
      <w:pPr>
        <w:numPr>
          <w:ilvl w:val="0"/>
          <w:numId w:val="46"/>
        </w:numPr>
        <w:spacing w:before="100" w:beforeAutospacing="1" w:after="100" w:afterAutospacing="1" w:line="240" w:lineRule="auto"/>
        <w:rPr>
          <w:szCs w:val="18"/>
        </w:rPr>
      </w:pPr>
      <w:r>
        <w:rPr>
          <w:szCs w:val="18"/>
        </w:rPr>
        <w:t>H</w:t>
      </w:r>
      <w:r w:rsidRPr="00813E85">
        <w:rPr>
          <w:szCs w:val="18"/>
        </w:rPr>
        <w:t>andels- en marktinformatie</w:t>
      </w:r>
      <w:r>
        <w:rPr>
          <w:szCs w:val="18"/>
        </w:rPr>
        <w:t xml:space="preserve"> ten behoeve van MKB;</w:t>
      </w:r>
      <w:r w:rsidRPr="00813E85">
        <w:rPr>
          <w:szCs w:val="18"/>
        </w:rPr>
        <w:t xml:space="preserve"> </w:t>
      </w:r>
    </w:p>
    <w:p w14:paraId="75FDA57F" w14:textId="77777777" w:rsidR="00AE299D" w:rsidRPr="00813E85" w:rsidRDefault="00AE299D" w:rsidP="00150FE5">
      <w:pPr>
        <w:numPr>
          <w:ilvl w:val="0"/>
          <w:numId w:val="46"/>
        </w:numPr>
        <w:spacing w:before="100" w:beforeAutospacing="1" w:after="100" w:afterAutospacing="1" w:line="240" w:lineRule="auto"/>
        <w:rPr>
          <w:szCs w:val="18"/>
          <w:lang w:val="en-US"/>
        </w:rPr>
      </w:pPr>
      <w:r w:rsidRPr="00A00AB9">
        <w:rPr>
          <w:szCs w:val="18"/>
          <w:lang w:val="en-US"/>
        </w:rPr>
        <w:t>V</w:t>
      </w:r>
      <w:r w:rsidRPr="00813E85">
        <w:rPr>
          <w:szCs w:val="18"/>
          <w:lang w:val="en-US"/>
        </w:rPr>
        <w:t>erbeter</w:t>
      </w:r>
      <w:r>
        <w:rPr>
          <w:szCs w:val="18"/>
          <w:lang w:val="en-US"/>
        </w:rPr>
        <w:t>ing van het ondernemersklimaat;</w:t>
      </w:r>
    </w:p>
    <w:p w14:paraId="75FDA580" w14:textId="77777777" w:rsidR="00AE299D" w:rsidRPr="00A00AB9" w:rsidRDefault="00AE299D" w:rsidP="00150FE5">
      <w:pPr>
        <w:numPr>
          <w:ilvl w:val="0"/>
          <w:numId w:val="46"/>
        </w:numPr>
        <w:spacing w:before="100" w:beforeAutospacing="1" w:after="100" w:afterAutospacing="1" w:line="240" w:lineRule="auto"/>
        <w:rPr>
          <w:szCs w:val="18"/>
        </w:rPr>
      </w:pPr>
      <w:r>
        <w:rPr>
          <w:szCs w:val="18"/>
        </w:rPr>
        <w:t xml:space="preserve">Versterking van </w:t>
      </w:r>
      <w:r w:rsidRPr="00813E85">
        <w:rPr>
          <w:szCs w:val="18"/>
        </w:rPr>
        <w:t>instituties</w:t>
      </w:r>
      <w:r>
        <w:rPr>
          <w:szCs w:val="18"/>
        </w:rPr>
        <w:t xml:space="preserve"> die handel en investeringen ondersteunen</w:t>
      </w:r>
      <w:r w:rsidRPr="00A00AB9">
        <w:rPr>
          <w:szCs w:val="18"/>
        </w:rPr>
        <w:t>;</w:t>
      </w:r>
    </w:p>
    <w:p w14:paraId="75FDA581" w14:textId="77777777" w:rsidR="00AE299D" w:rsidRPr="00A00AB9" w:rsidRDefault="00AE299D" w:rsidP="00150FE5">
      <w:pPr>
        <w:numPr>
          <w:ilvl w:val="0"/>
          <w:numId w:val="46"/>
        </w:numPr>
        <w:spacing w:before="100" w:beforeAutospacing="1" w:after="100" w:afterAutospacing="1" w:line="240" w:lineRule="auto"/>
        <w:rPr>
          <w:szCs w:val="18"/>
        </w:rPr>
      </w:pPr>
      <w:r w:rsidRPr="00A00AB9">
        <w:rPr>
          <w:szCs w:val="18"/>
        </w:rPr>
        <w:t xml:space="preserve">Integratie van </w:t>
      </w:r>
      <w:r>
        <w:rPr>
          <w:szCs w:val="18"/>
        </w:rPr>
        <w:t xml:space="preserve">MKB uit </w:t>
      </w:r>
      <w:r w:rsidRPr="00A00AB9">
        <w:rPr>
          <w:szCs w:val="18"/>
        </w:rPr>
        <w:t>ontwikkelingslanden</w:t>
      </w:r>
      <w:r w:rsidRPr="00813E85">
        <w:rPr>
          <w:szCs w:val="18"/>
        </w:rPr>
        <w:t xml:space="preserve"> in mondiale waardeketens</w:t>
      </w:r>
      <w:r w:rsidRPr="00A00AB9">
        <w:rPr>
          <w:szCs w:val="18"/>
        </w:rPr>
        <w:t>;</w:t>
      </w:r>
    </w:p>
    <w:p w14:paraId="75FDA582" w14:textId="77777777" w:rsidR="00AE299D" w:rsidRPr="00A00AB9" w:rsidRDefault="00AE299D" w:rsidP="00150FE5">
      <w:pPr>
        <w:numPr>
          <w:ilvl w:val="0"/>
          <w:numId w:val="46"/>
        </w:numPr>
        <w:spacing w:before="100" w:beforeAutospacing="1" w:after="100" w:afterAutospacing="1" w:line="240" w:lineRule="auto"/>
        <w:rPr>
          <w:szCs w:val="18"/>
        </w:rPr>
      </w:pPr>
      <w:r w:rsidRPr="00A00AB9">
        <w:rPr>
          <w:szCs w:val="18"/>
        </w:rPr>
        <w:t>O</w:t>
      </w:r>
      <w:r w:rsidRPr="00813E85">
        <w:rPr>
          <w:szCs w:val="18"/>
        </w:rPr>
        <w:t>ndersteun</w:t>
      </w:r>
      <w:r w:rsidRPr="00A00AB9">
        <w:rPr>
          <w:szCs w:val="18"/>
        </w:rPr>
        <w:t>ing</w:t>
      </w:r>
      <w:r w:rsidRPr="00813E85">
        <w:rPr>
          <w:szCs w:val="18"/>
        </w:rPr>
        <w:t xml:space="preserve"> van regionale economische integratie en Zuid-Zuid samenwerking</w:t>
      </w:r>
      <w:r w:rsidRPr="00A00AB9">
        <w:rPr>
          <w:szCs w:val="18"/>
        </w:rPr>
        <w:t>;</w:t>
      </w:r>
    </w:p>
    <w:p w14:paraId="75FDA583" w14:textId="77777777" w:rsidR="00AE299D" w:rsidRPr="00A00AB9" w:rsidRDefault="00AE299D" w:rsidP="00150FE5">
      <w:pPr>
        <w:numPr>
          <w:ilvl w:val="0"/>
          <w:numId w:val="46"/>
        </w:numPr>
        <w:spacing w:before="100" w:beforeAutospacing="1" w:after="100" w:afterAutospacing="1" w:line="240" w:lineRule="auto"/>
        <w:rPr>
          <w:szCs w:val="18"/>
        </w:rPr>
      </w:pPr>
      <w:r>
        <w:rPr>
          <w:szCs w:val="18"/>
        </w:rPr>
        <w:t>Bevordering</w:t>
      </w:r>
      <w:r w:rsidRPr="00813E85">
        <w:rPr>
          <w:szCs w:val="18"/>
        </w:rPr>
        <w:t xml:space="preserve"> en </w:t>
      </w:r>
      <w:r w:rsidRPr="00F6424A">
        <w:rPr>
          <w:i/>
          <w:szCs w:val="18"/>
        </w:rPr>
        <w:t>mainstreaming</w:t>
      </w:r>
      <w:r w:rsidRPr="00813E85">
        <w:rPr>
          <w:szCs w:val="18"/>
        </w:rPr>
        <w:t xml:space="preserve"> van</w:t>
      </w:r>
      <w:r w:rsidRPr="00A00AB9">
        <w:rPr>
          <w:szCs w:val="18"/>
        </w:rPr>
        <w:t xml:space="preserve"> inclusieve en duurzame hande</w:t>
      </w:r>
      <w:r>
        <w:rPr>
          <w:szCs w:val="18"/>
        </w:rPr>
        <w:t>l (inclusief armoede, gender, jongeren en het milieu).</w:t>
      </w:r>
    </w:p>
    <w:p w14:paraId="75FDA584" w14:textId="4959E514" w:rsidR="00AE299D" w:rsidRDefault="00AE299D" w:rsidP="00150FE5">
      <w:pPr>
        <w:spacing w:line="240" w:lineRule="auto"/>
      </w:pPr>
      <w:r>
        <w:t xml:space="preserve">Voor elk van de ITC programma’s heeft de organisatie </w:t>
      </w:r>
      <w:r w:rsidRPr="00EE52EA">
        <w:rPr>
          <w:i/>
        </w:rPr>
        <w:t>Theories of Change</w:t>
      </w:r>
      <w:r>
        <w:t xml:space="preserve"> opgesteld die </w:t>
      </w:r>
      <w:r w:rsidRPr="00CC1092">
        <w:rPr>
          <w:i/>
        </w:rPr>
        <w:t>outcomes</w:t>
      </w:r>
      <w:r>
        <w:t xml:space="preserve"> en </w:t>
      </w:r>
      <w:r w:rsidRPr="00CC1092">
        <w:rPr>
          <w:i/>
        </w:rPr>
        <w:t>impact</w:t>
      </w:r>
      <w:r>
        <w:t xml:space="preserve"> benoemen, alsook de relatie met de Global Goals. Zoals vermeld</w:t>
      </w:r>
      <w:r w:rsidR="00B432AA">
        <w:t>,</w:t>
      </w:r>
      <w:r>
        <w:t xml:space="preserve"> rapporteert ITC aan zowel de VN (UNCTAD) als de WTO. Daarnaast legt ITC verantwoording af aan de JAG, waarin donoren zitting hebben.</w:t>
      </w:r>
    </w:p>
    <w:p w14:paraId="75FDA585" w14:textId="77777777" w:rsidR="00AE299D" w:rsidRPr="0090555C" w:rsidRDefault="00AE299D" w:rsidP="00150FE5"/>
    <w:p w14:paraId="75FDA586" w14:textId="3DD04A0B" w:rsidR="00AE299D" w:rsidRDefault="00AE299D" w:rsidP="00150FE5">
      <w:r w:rsidRPr="00EE52EA">
        <w:t xml:space="preserve">ITC </w:t>
      </w:r>
      <w:r>
        <w:t>betrekt donoren, waar relevant, ook in het voortraject van het opstellen van beleidsdocumenten, wat de transparantie en vertrouwensrelatie versterkt. Dit geldt voor zowel het brede ITC-beleid als voor het NTF. In de stuurgroep van het NTF hebben zowel ITC als CBI zitting en geven in goede samenwerking sturing aan de richting en de implementatie van de door NTF-gefinancierde projecten.</w:t>
      </w:r>
    </w:p>
    <w:p w14:paraId="75FDA587" w14:textId="77777777" w:rsidR="00AE299D" w:rsidRPr="00EE52EA" w:rsidRDefault="00AE299D" w:rsidP="00150F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AE299D" w14:paraId="75FDA58A" w14:textId="77777777" w:rsidTr="00F313B0">
        <w:tc>
          <w:tcPr>
            <w:tcW w:w="6912" w:type="dxa"/>
            <w:tcBorders>
              <w:top w:val="single" w:sz="12" w:space="0" w:color="auto"/>
              <w:left w:val="single" w:sz="12" w:space="0" w:color="auto"/>
              <w:bottom w:val="single" w:sz="12" w:space="0" w:color="auto"/>
            </w:tcBorders>
            <w:shd w:val="clear" w:color="auto" w:fill="D9D9D9"/>
          </w:tcPr>
          <w:p w14:paraId="75FDA588" w14:textId="77777777" w:rsidR="00AE299D" w:rsidRPr="00EA0AA8" w:rsidRDefault="00AE299D" w:rsidP="00150FE5">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9D9D9"/>
          </w:tcPr>
          <w:p w14:paraId="75FDA589" w14:textId="77777777" w:rsidR="00AE299D" w:rsidRPr="00EA0AA8" w:rsidRDefault="00AE299D" w:rsidP="00150FE5">
            <w:pPr>
              <w:rPr>
                <w:b/>
              </w:rPr>
            </w:pPr>
            <w:r w:rsidRPr="00EA0AA8">
              <w:rPr>
                <w:b/>
              </w:rPr>
              <w:t>Score</w:t>
            </w:r>
          </w:p>
        </w:tc>
      </w:tr>
      <w:tr w:rsidR="00AE299D" w14:paraId="75FDA58D" w14:textId="77777777" w:rsidTr="00F313B0">
        <w:tc>
          <w:tcPr>
            <w:tcW w:w="6912" w:type="dxa"/>
            <w:tcBorders>
              <w:top w:val="single" w:sz="12" w:space="0" w:color="auto"/>
              <w:left w:val="single" w:sz="12" w:space="0" w:color="auto"/>
            </w:tcBorders>
            <w:shd w:val="clear" w:color="auto" w:fill="auto"/>
          </w:tcPr>
          <w:p w14:paraId="75FDA58B" w14:textId="77777777" w:rsidR="00AE299D" w:rsidRDefault="00AE299D" w:rsidP="00150FE5">
            <w:r>
              <w:t>Kernmandaat / Prioriteiten / Mission Creep</w:t>
            </w:r>
          </w:p>
        </w:tc>
        <w:tc>
          <w:tcPr>
            <w:tcW w:w="955" w:type="dxa"/>
            <w:tcBorders>
              <w:top w:val="single" w:sz="12" w:space="0" w:color="auto"/>
              <w:right w:val="single" w:sz="12" w:space="0" w:color="auto"/>
            </w:tcBorders>
            <w:shd w:val="clear" w:color="auto" w:fill="auto"/>
          </w:tcPr>
          <w:p w14:paraId="75FDA58C" w14:textId="77777777" w:rsidR="00AE299D" w:rsidRDefault="00AE299D" w:rsidP="00150FE5">
            <w:r>
              <w:t>4</w:t>
            </w:r>
          </w:p>
        </w:tc>
      </w:tr>
      <w:tr w:rsidR="00AE299D" w14:paraId="75FDA590" w14:textId="77777777" w:rsidTr="00F313B0">
        <w:tc>
          <w:tcPr>
            <w:tcW w:w="6912" w:type="dxa"/>
            <w:tcBorders>
              <w:left w:val="single" w:sz="12" w:space="0" w:color="auto"/>
            </w:tcBorders>
            <w:shd w:val="clear" w:color="auto" w:fill="auto"/>
          </w:tcPr>
          <w:p w14:paraId="75FDA58E" w14:textId="77777777" w:rsidR="00AE299D" w:rsidRDefault="00AE299D" w:rsidP="00150FE5">
            <w:r>
              <w:t>Beleidsstrategie</w:t>
            </w:r>
          </w:p>
        </w:tc>
        <w:tc>
          <w:tcPr>
            <w:tcW w:w="955" w:type="dxa"/>
            <w:tcBorders>
              <w:right w:val="single" w:sz="12" w:space="0" w:color="auto"/>
            </w:tcBorders>
            <w:shd w:val="clear" w:color="auto" w:fill="auto"/>
          </w:tcPr>
          <w:p w14:paraId="75FDA58F" w14:textId="77777777" w:rsidR="00AE299D" w:rsidRDefault="00AE299D" w:rsidP="00150FE5">
            <w:r>
              <w:t>4</w:t>
            </w:r>
          </w:p>
        </w:tc>
      </w:tr>
      <w:tr w:rsidR="00AE299D" w14:paraId="75FDA593" w14:textId="77777777" w:rsidTr="00A13499">
        <w:tc>
          <w:tcPr>
            <w:tcW w:w="6912" w:type="dxa"/>
            <w:tcBorders>
              <w:left w:val="single" w:sz="12" w:space="0" w:color="auto"/>
              <w:bottom w:val="single" w:sz="4" w:space="0" w:color="auto"/>
            </w:tcBorders>
            <w:shd w:val="clear" w:color="auto" w:fill="auto"/>
          </w:tcPr>
          <w:p w14:paraId="75FDA591" w14:textId="77777777" w:rsidR="00AE299D" w:rsidRPr="00B432AA" w:rsidRDefault="00AE299D" w:rsidP="00150FE5">
            <w:r w:rsidRPr="00B432AA">
              <w:t>Theory of Change</w:t>
            </w:r>
          </w:p>
        </w:tc>
        <w:tc>
          <w:tcPr>
            <w:tcW w:w="955" w:type="dxa"/>
            <w:tcBorders>
              <w:right w:val="single" w:sz="12" w:space="0" w:color="auto"/>
            </w:tcBorders>
            <w:shd w:val="clear" w:color="auto" w:fill="auto"/>
          </w:tcPr>
          <w:p w14:paraId="75FDA592" w14:textId="77777777" w:rsidR="00AE299D" w:rsidRDefault="00AE299D" w:rsidP="00150FE5">
            <w:r>
              <w:t>4</w:t>
            </w:r>
          </w:p>
        </w:tc>
      </w:tr>
      <w:tr w:rsidR="00AE299D" w14:paraId="75FDA596" w14:textId="77777777" w:rsidTr="00A13499">
        <w:tc>
          <w:tcPr>
            <w:tcW w:w="6912" w:type="dxa"/>
            <w:tcBorders>
              <w:top w:val="single" w:sz="4" w:space="0" w:color="auto"/>
              <w:left w:val="single" w:sz="12" w:space="0" w:color="auto"/>
              <w:bottom w:val="single" w:sz="4" w:space="0" w:color="auto"/>
            </w:tcBorders>
            <w:shd w:val="clear" w:color="auto" w:fill="auto"/>
          </w:tcPr>
          <w:p w14:paraId="75FDA594" w14:textId="77777777" w:rsidR="00AE299D" w:rsidRDefault="00AE299D" w:rsidP="00150FE5">
            <w:r>
              <w:t>Aansluiting Nationaal beleid / Armoedestrategie</w:t>
            </w:r>
          </w:p>
        </w:tc>
        <w:tc>
          <w:tcPr>
            <w:tcW w:w="955" w:type="dxa"/>
            <w:tcBorders>
              <w:bottom w:val="single" w:sz="4" w:space="0" w:color="auto"/>
              <w:right w:val="single" w:sz="12" w:space="0" w:color="auto"/>
            </w:tcBorders>
            <w:shd w:val="clear" w:color="auto" w:fill="auto"/>
          </w:tcPr>
          <w:p w14:paraId="75FDA595" w14:textId="77777777" w:rsidR="00AE299D" w:rsidRDefault="00AE299D" w:rsidP="00150FE5">
            <w:r>
              <w:t>4</w:t>
            </w:r>
          </w:p>
        </w:tc>
      </w:tr>
      <w:tr w:rsidR="00AE299D" w14:paraId="75FDA599" w14:textId="77777777" w:rsidTr="00180CBA">
        <w:tc>
          <w:tcPr>
            <w:tcW w:w="6912" w:type="dxa"/>
            <w:tcBorders>
              <w:top w:val="single" w:sz="4" w:space="0" w:color="auto"/>
              <w:left w:val="single" w:sz="12" w:space="0" w:color="auto"/>
              <w:bottom w:val="single" w:sz="4" w:space="0" w:color="auto"/>
            </w:tcBorders>
            <w:shd w:val="clear" w:color="auto" w:fill="auto"/>
          </w:tcPr>
          <w:p w14:paraId="75FDA597" w14:textId="77777777" w:rsidR="00AE299D" w:rsidRDefault="00AE299D" w:rsidP="00150FE5">
            <w:r>
              <w:t xml:space="preserve">Verantwoording </w:t>
            </w:r>
          </w:p>
        </w:tc>
        <w:tc>
          <w:tcPr>
            <w:tcW w:w="955" w:type="dxa"/>
            <w:tcBorders>
              <w:bottom w:val="single" w:sz="4" w:space="0" w:color="auto"/>
              <w:right w:val="single" w:sz="12" w:space="0" w:color="auto"/>
            </w:tcBorders>
            <w:shd w:val="clear" w:color="auto" w:fill="auto"/>
          </w:tcPr>
          <w:p w14:paraId="75FDA598" w14:textId="77777777" w:rsidR="00AE299D" w:rsidRDefault="00AE299D" w:rsidP="00150FE5">
            <w:r>
              <w:t>3</w:t>
            </w:r>
          </w:p>
        </w:tc>
      </w:tr>
      <w:tr w:rsidR="00AE299D" w14:paraId="75FDA59C" w14:textId="77777777" w:rsidTr="00AF7691">
        <w:tc>
          <w:tcPr>
            <w:tcW w:w="6912" w:type="dxa"/>
            <w:tcBorders>
              <w:top w:val="single" w:sz="4" w:space="0" w:color="auto"/>
              <w:left w:val="single" w:sz="12" w:space="0" w:color="auto"/>
              <w:bottom w:val="single" w:sz="12" w:space="0" w:color="auto"/>
            </w:tcBorders>
            <w:shd w:val="clear" w:color="auto" w:fill="auto"/>
          </w:tcPr>
          <w:p w14:paraId="75FDA59A" w14:textId="77777777" w:rsidR="00AE299D" w:rsidRDefault="00AE299D" w:rsidP="00150FE5">
            <w:r>
              <w:t>Aanspreekbaarheid voor overige belanghebbenden</w:t>
            </w:r>
          </w:p>
        </w:tc>
        <w:tc>
          <w:tcPr>
            <w:tcW w:w="955" w:type="dxa"/>
            <w:tcBorders>
              <w:bottom w:val="single" w:sz="12" w:space="0" w:color="auto"/>
              <w:right w:val="single" w:sz="12" w:space="0" w:color="auto"/>
            </w:tcBorders>
            <w:shd w:val="clear" w:color="auto" w:fill="auto"/>
          </w:tcPr>
          <w:p w14:paraId="75FDA59B" w14:textId="77777777" w:rsidR="00AE299D" w:rsidRDefault="00AE299D" w:rsidP="00150FE5">
            <w:r>
              <w:t>4</w:t>
            </w:r>
          </w:p>
        </w:tc>
      </w:tr>
      <w:tr w:rsidR="00AE299D" w14:paraId="75FDA59F" w14:textId="77777777" w:rsidTr="00B06CE6">
        <w:tc>
          <w:tcPr>
            <w:tcW w:w="6912" w:type="dxa"/>
            <w:tcBorders>
              <w:top w:val="single" w:sz="12" w:space="0" w:color="auto"/>
              <w:left w:val="single" w:sz="12" w:space="0" w:color="auto"/>
              <w:bottom w:val="single" w:sz="12" w:space="0" w:color="auto"/>
            </w:tcBorders>
            <w:shd w:val="clear" w:color="auto" w:fill="D0CECE"/>
          </w:tcPr>
          <w:p w14:paraId="75FDA59D" w14:textId="77777777" w:rsidR="00AE299D" w:rsidRPr="00EA0AA8" w:rsidRDefault="00AE299D" w:rsidP="00150FE5">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5FDA59E" w14:textId="77777777" w:rsidR="00AE299D" w:rsidRPr="00EA0AA8" w:rsidRDefault="00AE299D" w:rsidP="00150FE5">
            <w:pPr>
              <w:rPr>
                <w:b/>
              </w:rPr>
            </w:pPr>
            <w:r>
              <w:rPr>
                <w:b/>
              </w:rPr>
              <w:t>4</w:t>
            </w:r>
          </w:p>
        </w:tc>
      </w:tr>
    </w:tbl>
    <w:p w14:paraId="75FDA5A0" w14:textId="77777777" w:rsidR="00AE299D" w:rsidRDefault="00AE299D" w:rsidP="00150FE5"/>
    <w:p w14:paraId="75FDA5A2" w14:textId="77777777" w:rsidR="00AE299D" w:rsidRDefault="00AE299D" w:rsidP="00150FE5">
      <w:pPr>
        <w:ind w:firstLine="227"/>
      </w:pPr>
      <w:r w:rsidRPr="00193994">
        <w:t>Verandering</w:t>
      </w:r>
      <w:r>
        <w:t xml:space="preserve"> sinds 2015: positief</w:t>
      </w:r>
      <w:r w:rsidRPr="00193994">
        <w:t xml:space="preserve"> =  </w:t>
      </w:r>
      <w:r w:rsidRPr="00900C34">
        <w:rPr>
          <w:szCs w:val="18"/>
        </w:rPr>
        <w:sym w:font="Wingdings" w:char="F0E9"/>
      </w:r>
    </w:p>
    <w:p w14:paraId="75FDA5A5" w14:textId="6F324206" w:rsidR="00AE299D" w:rsidRDefault="00AE299D" w:rsidP="00150FE5"/>
    <w:p w14:paraId="75FDA5A6" w14:textId="7100FE80" w:rsidR="00AE299D" w:rsidRPr="007230FA" w:rsidRDefault="00CC1092" w:rsidP="00150FE5">
      <w:pPr>
        <w:pStyle w:val="Heading2"/>
        <w:numPr>
          <w:ilvl w:val="1"/>
          <w:numId w:val="20"/>
        </w:numPr>
        <w:tabs>
          <w:tab w:val="left" w:pos="-1162"/>
          <w:tab w:val="left" w:pos="0"/>
        </w:tabs>
        <w:spacing w:line="240" w:lineRule="auto"/>
        <w:rPr>
          <w:lang w:val="en-US"/>
        </w:rPr>
      </w:pPr>
      <w:r w:rsidRPr="009752DB">
        <w:t xml:space="preserve">             </w:t>
      </w:r>
      <w:bookmarkStart w:id="33" w:name="_Toc491439386"/>
      <w:r w:rsidR="00AE299D">
        <w:rPr>
          <w:lang w:val="en-US"/>
        </w:rPr>
        <w:t>Resultaatgerichtheid en transparantie</w:t>
      </w:r>
      <w:bookmarkEnd w:id="33"/>
    </w:p>
    <w:p w14:paraId="75FDA5A8" w14:textId="363B0C41" w:rsidR="00AE299D" w:rsidRDefault="00AE299D" w:rsidP="00150FE5">
      <w:pPr>
        <w:rPr>
          <w:szCs w:val="20"/>
        </w:rPr>
      </w:pPr>
      <w:r w:rsidRPr="00603612">
        <w:rPr>
          <w:szCs w:val="20"/>
        </w:rPr>
        <w:t>ITC</w:t>
      </w:r>
      <w:r>
        <w:rPr>
          <w:szCs w:val="20"/>
        </w:rPr>
        <w:t xml:space="preserve"> draagt uit dat het een resultaatgerichte organisatie is. </w:t>
      </w:r>
      <w:r w:rsidR="00B853E2" w:rsidRPr="7E1BADDD">
        <w:rPr>
          <w:rFonts w:eastAsia="Verdana" w:cs="Verdana"/>
          <w:szCs w:val="18"/>
        </w:rPr>
        <w:t xml:space="preserve">De binnen NTF II </w:t>
      </w:r>
      <w:r w:rsidR="000D6778">
        <w:rPr>
          <w:rFonts w:eastAsia="Verdana" w:cs="Verdana"/>
          <w:szCs w:val="18"/>
        </w:rPr>
        <w:t xml:space="preserve">(2009-2013) </w:t>
      </w:r>
      <w:r w:rsidR="00B853E2" w:rsidRPr="7E1BADDD">
        <w:rPr>
          <w:rFonts w:eastAsia="Verdana" w:cs="Verdana"/>
          <w:szCs w:val="18"/>
        </w:rPr>
        <w:t xml:space="preserve">en </w:t>
      </w:r>
      <w:r w:rsidR="000D6778">
        <w:rPr>
          <w:rFonts w:eastAsia="Verdana" w:cs="Verdana"/>
          <w:szCs w:val="18"/>
        </w:rPr>
        <w:t xml:space="preserve">NTF </w:t>
      </w:r>
      <w:r w:rsidR="00B853E2" w:rsidRPr="7E1BADDD">
        <w:rPr>
          <w:rFonts w:eastAsia="Verdana" w:cs="Verdana"/>
          <w:szCs w:val="18"/>
        </w:rPr>
        <w:t xml:space="preserve">III </w:t>
      </w:r>
      <w:r w:rsidR="00B853E2" w:rsidRPr="00B853E2">
        <w:rPr>
          <w:rFonts w:eastAsia="Verdana" w:cs="Verdana"/>
          <w:szCs w:val="18"/>
        </w:rPr>
        <w:t xml:space="preserve">(2013-2017) ontwikkelde </w:t>
      </w:r>
      <w:r w:rsidR="00F6424A" w:rsidRPr="00B853E2">
        <w:rPr>
          <w:rFonts w:eastAsia="Verdana" w:cs="Verdana"/>
          <w:szCs w:val="18"/>
        </w:rPr>
        <w:t>vraag gestuurde</w:t>
      </w:r>
      <w:r w:rsidR="00B853E2" w:rsidRPr="00B853E2">
        <w:rPr>
          <w:rFonts w:eastAsia="Verdana" w:cs="Verdana"/>
          <w:szCs w:val="18"/>
        </w:rPr>
        <w:t xml:space="preserve"> en programmatische benadering met een </w:t>
      </w:r>
      <w:r w:rsidR="00B853E2" w:rsidRPr="00B853E2">
        <w:rPr>
          <w:rFonts w:eastAsia="Verdana" w:cs="Verdana"/>
          <w:i/>
          <w:szCs w:val="18"/>
        </w:rPr>
        <w:t>Result Based Management</w:t>
      </w:r>
      <w:r w:rsidR="00B853E2" w:rsidRPr="00B853E2">
        <w:rPr>
          <w:rFonts w:eastAsia="Verdana" w:cs="Verdana"/>
          <w:szCs w:val="18"/>
        </w:rPr>
        <w:t>-structuur</w:t>
      </w:r>
      <w:r w:rsidR="00B853E2" w:rsidRPr="7E1BADDD">
        <w:rPr>
          <w:rFonts w:eastAsia="Verdana" w:cs="Verdana"/>
          <w:szCs w:val="18"/>
        </w:rPr>
        <w:t>, wordt binnen ITC steeds meer toegepast</w:t>
      </w:r>
      <w:r w:rsidR="000D6778">
        <w:rPr>
          <w:rFonts w:eastAsia="Verdana" w:cs="Verdana"/>
          <w:szCs w:val="18"/>
        </w:rPr>
        <w:t xml:space="preserve">. </w:t>
      </w:r>
      <w:r w:rsidRPr="008031A3">
        <w:rPr>
          <w:i/>
          <w:szCs w:val="20"/>
        </w:rPr>
        <w:t>Result Based Management</w:t>
      </w:r>
      <w:r w:rsidRPr="00603612">
        <w:rPr>
          <w:szCs w:val="20"/>
        </w:rPr>
        <w:t xml:space="preserve"> </w:t>
      </w:r>
      <w:r>
        <w:rPr>
          <w:szCs w:val="20"/>
        </w:rPr>
        <w:t xml:space="preserve">is geïntegreerd in </w:t>
      </w:r>
      <w:r w:rsidRPr="00603612">
        <w:rPr>
          <w:szCs w:val="20"/>
        </w:rPr>
        <w:t xml:space="preserve">het </w:t>
      </w:r>
      <w:r>
        <w:rPr>
          <w:szCs w:val="20"/>
        </w:rPr>
        <w:t>interne managementinformatiesysteem</w:t>
      </w:r>
      <w:r w:rsidRPr="00603612">
        <w:rPr>
          <w:szCs w:val="20"/>
        </w:rPr>
        <w:t xml:space="preserve">. </w:t>
      </w:r>
      <w:r>
        <w:rPr>
          <w:szCs w:val="20"/>
        </w:rPr>
        <w:t xml:space="preserve">Deze applicatie koppelt financiële informatie aan resultaten per project, programma, focusgebied en geografische regio. </w:t>
      </w:r>
      <w:r w:rsidRPr="008031A3">
        <w:rPr>
          <w:szCs w:val="20"/>
        </w:rPr>
        <w:t xml:space="preserve">Allocatie van middelen is goed inzichtelijk gemaakt in </w:t>
      </w:r>
      <w:r w:rsidRPr="008031A3">
        <w:rPr>
          <w:i/>
          <w:szCs w:val="20"/>
        </w:rPr>
        <w:t>logframes</w:t>
      </w:r>
      <w:r w:rsidRPr="008031A3">
        <w:rPr>
          <w:szCs w:val="20"/>
        </w:rPr>
        <w:t xml:space="preserve"> en is gekoppeld aan de resultaten</w:t>
      </w:r>
      <w:r>
        <w:rPr>
          <w:szCs w:val="20"/>
        </w:rPr>
        <w:t xml:space="preserve"> en maakt het </w:t>
      </w:r>
      <w:r w:rsidRPr="008031A3">
        <w:rPr>
          <w:szCs w:val="20"/>
        </w:rPr>
        <w:t xml:space="preserve">planmatig toewerken naar resultaten mogelijk. </w:t>
      </w:r>
      <w:r w:rsidR="00B853E2">
        <w:rPr>
          <w:szCs w:val="20"/>
        </w:rPr>
        <w:t xml:space="preserve">Ook heeft ITC de afgelopen jaren aanzienlijke vorderingen gemaakt met </w:t>
      </w:r>
      <w:r w:rsidR="00B853E2" w:rsidRPr="008031A3">
        <w:rPr>
          <w:i/>
          <w:szCs w:val="20"/>
        </w:rPr>
        <w:t xml:space="preserve">Result Based Budgeting. </w:t>
      </w:r>
      <w:r>
        <w:rPr>
          <w:szCs w:val="20"/>
        </w:rPr>
        <w:t xml:space="preserve">De implementatie van </w:t>
      </w:r>
      <w:r w:rsidRPr="008031A3">
        <w:rPr>
          <w:i/>
          <w:szCs w:val="20"/>
        </w:rPr>
        <w:t>Result Based Budgeting</w:t>
      </w:r>
      <w:r w:rsidRPr="008031A3">
        <w:rPr>
          <w:szCs w:val="20"/>
        </w:rPr>
        <w:t xml:space="preserve"> </w:t>
      </w:r>
      <w:r>
        <w:rPr>
          <w:szCs w:val="20"/>
        </w:rPr>
        <w:t>wordt</w:t>
      </w:r>
      <w:r w:rsidRPr="008031A3">
        <w:rPr>
          <w:szCs w:val="20"/>
        </w:rPr>
        <w:t xml:space="preserve"> </w:t>
      </w:r>
      <w:r w:rsidR="00B853E2">
        <w:rPr>
          <w:szCs w:val="20"/>
        </w:rPr>
        <w:t xml:space="preserve">momenteel </w:t>
      </w:r>
      <w:r w:rsidRPr="008031A3">
        <w:rPr>
          <w:szCs w:val="20"/>
        </w:rPr>
        <w:t>afgerond.</w:t>
      </w:r>
    </w:p>
    <w:p w14:paraId="75FDA5A9" w14:textId="77777777" w:rsidR="00AE299D" w:rsidRDefault="00AE299D" w:rsidP="00150FE5">
      <w:pPr>
        <w:rPr>
          <w:szCs w:val="20"/>
        </w:rPr>
      </w:pPr>
    </w:p>
    <w:p w14:paraId="75FDA5AA" w14:textId="77777777" w:rsidR="00AE299D" w:rsidRDefault="00AE299D" w:rsidP="00150FE5">
      <w:pPr>
        <w:rPr>
          <w:szCs w:val="20"/>
        </w:rPr>
      </w:pPr>
      <w:r>
        <w:rPr>
          <w:szCs w:val="20"/>
        </w:rPr>
        <w:t xml:space="preserve">ITC publiceert een jaarlijks operationeel plan waarin </w:t>
      </w:r>
      <w:r w:rsidRPr="00CC1092">
        <w:rPr>
          <w:i/>
          <w:szCs w:val="20"/>
        </w:rPr>
        <w:t>baselines</w:t>
      </w:r>
      <w:r>
        <w:rPr>
          <w:szCs w:val="20"/>
        </w:rPr>
        <w:t xml:space="preserve"> en </w:t>
      </w:r>
      <w:r w:rsidRPr="00CC1092">
        <w:rPr>
          <w:i/>
          <w:szCs w:val="20"/>
        </w:rPr>
        <w:t>targets</w:t>
      </w:r>
      <w:r>
        <w:rPr>
          <w:szCs w:val="20"/>
        </w:rPr>
        <w:t xml:space="preserve"> zijn opgenomen. Tweemaal per jaar worden resultaten op organisatieniveau gerapporteerd aan CCITF. ITC rapporteert over de bijdrage aan de Global Goals, </w:t>
      </w:r>
      <w:r w:rsidRPr="00FE5D0E">
        <w:rPr>
          <w:i/>
          <w:szCs w:val="20"/>
        </w:rPr>
        <w:t>outcomes</w:t>
      </w:r>
      <w:r>
        <w:rPr>
          <w:szCs w:val="20"/>
        </w:rPr>
        <w:t xml:space="preserve"> en </w:t>
      </w:r>
      <w:r w:rsidRPr="00FE5D0E">
        <w:rPr>
          <w:i/>
          <w:szCs w:val="20"/>
        </w:rPr>
        <w:t>outputs</w:t>
      </w:r>
      <w:r>
        <w:rPr>
          <w:szCs w:val="20"/>
        </w:rPr>
        <w:t>. ITC publiceert de financiële waarde en geografische spreiding van zijn projecten op zijn website. De stap naar IATI moet nog worden gemaakt.</w:t>
      </w:r>
    </w:p>
    <w:p w14:paraId="75FDA5AB" w14:textId="77777777" w:rsidR="00AE299D" w:rsidRDefault="00AE299D" w:rsidP="00150FE5">
      <w:pPr>
        <w:rPr>
          <w:szCs w:val="20"/>
        </w:rPr>
      </w:pPr>
    </w:p>
    <w:p w14:paraId="75FDA5AC" w14:textId="0D40C006" w:rsidR="00AE299D" w:rsidRPr="00974E68" w:rsidRDefault="00AE299D" w:rsidP="00150FE5">
      <w:pPr>
        <w:rPr>
          <w:szCs w:val="20"/>
        </w:rPr>
      </w:pPr>
      <w:r w:rsidRPr="008031A3">
        <w:rPr>
          <w:szCs w:val="20"/>
        </w:rPr>
        <w:t xml:space="preserve">ITC heeft </w:t>
      </w:r>
      <w:r w:rsidRPr="008031A3">
        <w:rPr>
          <w:i/>
          <w:szCs w:val="20"/>
        </w:rPr>
        <w:t>Theories of Change</w:t>
      </w:r>
      <w:r w:rsidRPr="008031A3">
        <w:rPr>
          <w:szCs w:val="20"/>
        </w:rPr>
        <w:t xml:space="preserve"> opgesteld voor alle projecten. </w:t>
      </w:r>
      <w:r w:rsidRPr="008031A3">
        <w:rPr>
          <w:i/>
          <w:szCs w:val="20"/>
        </w:rPr>
        <w:t>Logic chains</w:t>
      </w:r>
      <w:r w:rsidRPr="008031A3">
        <w:rPr>
          <w:szCs w:val="20"/>
        </w:rPr>
        <w:t xml:space="preserve"> verbeteren </w:t>
      </w:r>
      <w:r>
        <w:rPr>
          <w:szCs w:val="20"/>
        </w:rPr>
        <w:t>de evalueerbaarheid</w:t>
      </w:r>
      <w:r w:rsidRPr="008031A3">
        <w:rPr>
          <w:szCs w:val="20"/>
        </w:rPr>
        <w:t xml:space="preserve">. </w:t>
      </w:r>
      <w:r>
        <w:rPr>
          <w:szCs w:val="20"/>
        </w:rPr>
        <w:t xml:space="preserve">Zoals in paragraaf 2.3 vermeld heeft </w:t>
      </w:r>
      <w:r w:rsidRPr="00974E68">
        <w:rPr>
          <w:szCs w:val="20"/>
        </w:rPr>
        <w:t xml:space="preserve">ITC zich aangesloten bij het PRIME-initiatief </w:t>
      </w:r>
      <w:r>
        <w:rPr>
          <w:szCs w:val="20"/>
        </w:rPr>
        <w:t xml:space="preserve">met als doel monitoring en evaluatie nog verder te versterken. Vooral het meten van resultaten op impact-niveau en de attributie behoeft nog een verbeterslag.  </w:t>
      </w:r>
    </w:p>
    <w:p w14:paraId="75FDA5AD" w14:textId="77777777" w:rsidR="00AE299D" w:rsidRPr="00974E68" w:rsidRDefault="00AE299D" w:rsidP="00150F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AE299D" w:rsidRPr="00EA0AA8" w14:paraId="75FDA5B1" w14:textId="77777777" w:rsidTr="00912FFF">
        <w:tc>
          <w:tcPr>
            <w:tcW w:w="6747" w:type="dxa"/>
            <w:tcBorders>
              <w:top w:val="single" w:sz="12" w:space="0" w:color="auto"/>
              <w:left w:val="single" w:sz="12" w:space="0" w:color="auto"/>
              <w:bottom w:val="single" w:sz="12" w:space="0" w:color="auto"/>
            </w:tcBorders>
            <w:shd w:val="clear" w:color="auto" w:fill="D0CECE"/>
          </w:tcPr>
          <w:p w14:paraId="75FDA5AF" w14:textId="77777777" w:rsidR="00AE299D" w:rsidRPr="00EA0AA8" w:rsidRDefault="00AE299D" w:rsidP="00150FE5">
            <w:pPr>
              <w:rPr>
                <w:b/>
              </w:rPr>
            </w:pPr>
            <w:r w:rsidRPr="00EA0AA8">
              <w:rPr>
                <w:b/>
              </w:rPr>
              <w:t>Onderdeel</w:t>
            </w:r>
          </w:p>
        </w:tc>
        <w:tc>
          <w:tcPr>
            <w:tcW w:w="950" w:type="dxa"/>
            <w:tcBorders>
              <w:top w:val="single" w:sz="12" w:space="0" w:color="auto"/>
              <w:bottom w:val="single" w:sz="12" w:space="0" w:color="auto"/>
              <w:right w:val="single" w:sz="12" w:space="0" w:color="auto"/>
            </w:tcBorders>
            <w:shd w:val="clear" w:color="auto" w:fill="D0CECE"/>
          </w:tcPr>
          <w:p w14:paraId="75FDA5B0" w14:textId="77777777" w:rsidR="00AE299D" w:rsidRPr="00EA0AA8" w:rsidRDefault="00AE299D" w:rsidP="00150FE5">
            <w:pPr>
              <w:rPr>
                <w:b/>
              </w:rPr>
            </w:pPr>
            <w:r w:rsidRPr="00EA0AA8">
              <w:rPr>
                <w:b/>
              </w:rPr>
              <w:t>Score</w:t>
            </w:r>
          </w:p>
        </w:tc>
      </w:tr>
      <w:tr w:rsidR="00AE299D" w14:paraId="75FDA5B4" w14:textId="77777777" w:rsidTr="00912FFF">
        <w:tc>
          <w:tcPr>
            <w:tcW w:w="6747" w:type="dxa"/>
            <w:tcBorders>
              <w:top w:val="single" w:sz="12" w:space="0" w:color="auto"/>
              <w:left w:val="single" w:sz="12" w:space="0" w:color="auto"/>
            </w:tcBorders>
            <w:shd w:val="clear" w:color="auto" w:fill="auto"/>
          </w:tcPr>
          <w:p w14:paraId="75FDA5B2" w14:textId="77777777" w:rsidR="00AE299D" w:rsidRDefault="00AE299D" w:rsidP="00150FE5">
            <w:r>
              <w:t>RBM en RBB</w:t>
            </w:r>
          </w:p>
        </w:tc>
        <w:tc>
          <w:tcPr>
            <w:tcW w:w="950" w:type="dxa"/>
            <w:tcBorders>
              <w:top w:val="single" w:sz="12" w:space="0" w:color="auto"/>
              <w:right w:val="single" w:sz="12" w:space="0" w:color="auto"/>
            </w:tcBorders>
            <w:shd w:val="clear" w:color="auto" w:fill="auto"/>
          </w:tcPr>
          <w:p w14:paraId="75FDA5B3" w14:textId="77777777" w:rsidR="00AE299D" w:rsidRDefault="00AE299D" w:rsidP="00150FE5">
            <w:r>
              <w:t>4</w:t>
            </w:r>
          </w:p>
        </w:tc>
      </w:tr>
      <w:tr w:rsidR="00AE299D" w14:paraId="75FDA5B7" w14:textId="77777777" w:rsidTr="00912FFF">
        <w:tc>
          <w:tcPr>
            <w:tcW w:w="6747" w:type="dxa"/>
            <w:tcBorders>
              <w:left w:val="single" w:sz="12" w:space="0" w:color="auto"/>
            </w:tcBorders>
            <w:shd w:val="clear" w:color="auto" w:fill="auto"/>
          </w:tcPr>
          <w:p w14:paraId="75FDA5B5" w14:textId="77777777" w:rsidR="00AE299D" w:rsidRDefault="00AE299D" w:rsidP="00150FE5">
            <w:r>
              <w:t>Inzichtelijk maken resultaten</w:t>
            </w:r>
          </w:p>
        </w:tc>
        <w:tc>
          <w:tcPr>
            <w:tcW w:w="950" w:type="dxa"/>
            <w:tcBorders>
              <w:right w:val="single" w:sz="12" w:space="0" w:color="auto"/>
            </w:tcBorders>
            <w:shd w:val="clear" w:color="auto" w:fill="auto"/>
          </w:tcPr>
          <w:p w14:paraId="75FDA5B6" w14:textId="77777777" w:rsidR="00AE299D" w:rsidRDefault="00AE299D" w:rsidP="00150FE5">
            <w:r>
              <w:t>3</w:t>
            </w:r>
          </w:p>
        </w:tc>
      </w:tr>
      <w:tr w:rsidR="00AE299D" w14:paraId="75FDA5BA" w14:textId="77777777" w:rsidTr="00912FFF">
        <w:tc>
          <w:tcPr>
            <w:tcW w:w="6747" w:type="dxa"/>
            <w:tcBorders>
              <w:left w:val="single" w:sz="12" w:space="0" w:color="auto"/>
            </w:tcBorders>
            <w:shd w:val="clear" w:color="auto" w:fill="auto"/>
          </w:tcPr>
          <w:p w14:paraId="75FDA5B8" w14:textId="77777777" w:rsidR="00AE299D" w:rsidRDefault="00AE299D" w:rsidP="00150FE5">
            <w:r>
              <w:t>Inzichtelijk maken allocatie van middelen (o.a. IATI)</w:t>
            </w:r>
          </w:p>
        </w:tc>
        <w:tc>
          <w:tcPr>
            <w:tcW w:w="950" w:type="dxa"/>
            <w:tcBorders>
              <w:right w:val="single" w:sz="12" w:space="0" w:color="auto"/>
            </w:tcBorders>
            <w:shd w:val="clear" w:color="auto" w:fill="auto"/>
          </w:tcPr>
          <w:p w14:paraId="75FDA5B9" w14:textId="77777777" w:rsidR="00AE299D" w:rsidRDefault="00AE299D" w:rsidP="00150FE5">
            <w:r>
              <w:t>3</w:t>
            </w:r>
          </w:p>
        </w:tc>
      </w:tr>
      <w:tr w:rsidR="00AE299D" w14:paraId="75FDA5BD" w14:textId="77777777" w:rsidTr="00912FFF">
        <w:tc>
          <w:tcPr>
            <w:tcW w:w="6747" w:type="dxa"/>
            <w:tcBorders>
              <w:left w:val="single" w:sz="12" w:space="0" w:color="auto"/>
              <w:bottom w:val="single" w:sz="12" w:space="0" w:color="auto"/>
            </w:tcBorders>
            <w:shd w:val="clear" w:color="auto" w:fill="auto"/>
          </w:tcPr>
          <w:p w14:paraId="75FDA5BB" w14:textId="77777777" w:rsidR="00AE299D" w:rsidRDefault="00AE299D" w:rsidP="00150FE5">
            <w:r>
              <w:t>Communicatie over resultaten</w:t>
            </w:r>
          </w:p>
        </w:tc>
        <w:tc>
          <w:tcPr>
            <w:tcW w:w="950" w:type="dxa"/>
            <w:tcBorders>
              <w:bottom w:val="single" w:sz="12" w:space="0" w:color="auto"/>
              <w:right w:val="single" w:sz="12" w:space="0" w:color="auto"/>
            </w:tcBorders>
            <w:shd w:val="clear" w:color="auto" w:fill="auto"/>
          </w:tcPr>
          <w:p w14:paraId="75FDA5BC" w14:textId="77777777" w:rsidR="00AE299D" w:rsidRDefault="00AE299D" w:rsidP="00150FE5">
            <w:r>
              <w:t>4</w:t>
            </w:r>
          </w:p>
        </w:tc>
      </w:tr>
      <w:tr w:rsidR="00AE299D" w:rsidRPr="00EA0AA8" w14:paraId="75FDA5C0" w14:textId="77777777" w:rsidTr="00912FFF">
        <w:tc>
          <w:tcPr>
            <w:tcW w:w="6747" w:type="dxa"/>
            <w:tcBorders>
              <w:top w:val="single" w:sz="12" w:space="0" w:color="auto"/>
              <w:left w:val="single" w:sz="12" w:space="0" w:color="auto"/>
              <w:bottom w:val="single" w:sz="12" w:space="0" w:color="auto"/>
            </w:tcBorders>
            <w:shd w:val="clear" w:color="auto" w:fill="D0CECE"/>
          </w:tcPr>
          <w:p w14:paraId="75FDA5BE" w14:textId="77777777" w:rsidR="00AE299D" w:rsidRPr="00EA0AA8" w:rsidRDefault="00AE299D" w:rsidP="00150FE5">
            <w:pPr>
              <w:rPr>
                <w:b/>
              </w:rPr>
            </w:pPr>
            <w:r w:rsidRPr="00F313B0">
              <w:rPr>
                <w:b/>
              </w:rPr>
              <w:t>TOTAAL</w:t>
            </w:r>
          </w:p>
        </w:tc>
        <w:tc>
          <w:tcPr>
            <w:tcW w:w="950" w:type="dxa"/>
            <w:tcBorders>
              <w:top w:val="single" w:sz="12" w:space="0" w:color="auto"/>
              <w:bottom w:val="single" w:sz="12" w:space="0" w:color="auto"/>
              <w:right w:val="single" w:sz="12" w:space="0" w:color="auto"/>
            </w:tcBorders>
            <w:shd w:val="clear" w:color="auto" w:fill="D0CECE"/>
          </w:tcPr>
          <w:p w14:paraId="75FDA5BF" w14:textId="77777777" w:rsidR="00AE299D" w:rsidRPr="00EA0AA8" w:rsidRDefault="00AE299D" w:rsidP="00150FE5">
            <w:pPr>
              <w:rPr>
                <w:b/>
              </w:rPr>
            </w:pPr>
            <w:r>
              <w:rPr>
                <w:b/>
              </w:rPr>
              <w:t>4</w:t>
            </w:r>
          </w:p>
        </w:tc>
      </w:tr>
    </w:tbl>
    <w:p w14:paraId="75FDA5C1" w14:textId="77777777" w:rsidR="00AE299D" w:rsidRDefault="00AE299D" w:rsidP="00150FE5">
      <w:pPr>
        <w:rPr>
          <w:b/>
        </w:rPr>
      </w:pPr>
    </w:p>
    <w:p w14:paraId="75FDA5C3" w14:textId="77777777" w:rsidR="00AE299D" w:rsidRDefault="00AE299D" w:rsidP="00150FE5">
      <w:pPr>
        <w:ind w:firstLine="227"/>
        <w:rPr>
          <w:b/>
        </w:rPr>
      </w:pPr>
      <w:r w:rsidRPr="00193994">
        <w:t>Ver</w:t>
      </w:r>
      <w:r>
        <w:t>andering sinds 2015: positief</w:t>
      </w:r>
      <w:r w:rsidRPr="00193994">
        <w:t xml:space="preserve"> =  </w:t>
      </w:r>
      <w:r w:rsidRPr="00193994">
        <w:sym w:font="Wingdings" w:char="F0E9"/>
      </w:r>
    </w:p>
    <w:p w14:paraId="75FDA5C4" w14:textId="77777777" w:rsidR="00AE299D" w:rsidRDefault="00AE299D" w:rsidP="00150FE5"/>
    <w:p w14:paraId="75FDA5C5" w14:textId="655EB180" w:rsidR="00AE299D" w:rsidRDefault="00AE299D" w:rsidP="00150FE5">
      <w:r>
        <w:t>Gelet op de vooruitgang die ITC heeft geboekt wordt deze score naar boven afgerond, ondanks dat ITC nog niet conform IATI rapporteert.</w:t>
      </w:r>
    </w:p>
    <w:p w14:paraId="7CCC7362" w14:textId="77777777" w:rsidR="00D224BD" w:rsidRDefault="00D224BD" w:rsidP="00150FE5"/>
    <w:p w14:paraId="75FDA5C6" w14:textId="5FE12553" w:rsidR="00AE299D" w:rsidRPr="00F366F4" w:rsidRDefault="004C0F60" w:rsidP="00150FE5">
      <w:pPr>
        <w:pStyle w:val="Heading2"/>
        <w:numPr>
          <w:ilvl w:val="1"/>
          <w:numId w:val="20"/>
        </w:numPr>
        <w:tabs>
          <w:tab w:val="left" w:pos="-1162"/>
          <w:tab w:val="left" w:pos="0"/>
        </w:tabs>
        <w:spacing w:line="240" w:lineRule="auto"/>
        <w:rPr>
          <w:lang w:val="en-US"/>
        </w:rPr>
      </w:pPr>
      <w:r>
        <w:t xml:space="preserve">             </w:t>
      </w:r>
      <w:bookmarkStart w:id="34" w:name="_Toc491439387"/>
      <w:r w:rsidR="00AE299D" w:rsidRPr="00A13499">
        <w:t>Partnerschappen</w:t>
      </w:r>
      <w:r w:rsidR="00AE299D">
        <w:t xml:space="preserve"> en samenwerking</w:t>
      </w:r>
      <w:bookmarkEnd w:id="34"/>
    </w:p>
    <w:p w14:paraId="75FDA5C8" w14:textId="4BDDA42F" w:rsidR="00AE299D" w:rsidRPr="00E34BA3" w:rsidRDefault="00AE299D" w:rsidP="00150FE5">
      <w:pPr>
        <w:autoSpaceDE w:val="0"/>
        <w:autoSpaceDN w:val="0"/>
        <w:adjustRightInd w:val="0"/>
        <w:spacing w:line="240" w:lineRule="auto"/>
        <w:rPr>
          <w:szCs w:val="20"/>
        </w:rPr>
      </w:pPr>
      <w:r w:rsidRPr="004B2667">
        <w:rPr>
          <w:szCs w:val="20"/>
          <w:lang w:val="en-US"/>
        </w:rPr>
        <w:t xml:space="preserve">ITC heeft partnerschappen met internationale organisaties (o.a. WTO, UN DESA, EIF, World Bank, UN Women, FAO, UNDP en WFP), regionale </w:t>
      </w:r>
      <w:r>
        <w:rPr>
          <w:szCs w:val="20"/>
          <w:lang w:val="en-US"/>
        </w:rPr>
        <w:t xml:space="preserve">organisaties </w:t>
      </w:r>
      <w:r w:rsidRPr="004B2667">
        <w:rPr>
          <w:szCs w:val="20"/>
          <w:lang w:val="en-US"/>
        </w:rPr>
        <w:t xml:space="preserve">(zoals </w:t>
      </w:r>
      <w:r w:rsidRPr="00F6424A">
        <w:rPr>
          <w:i/>
          <w:szCs w:val="20"/>
          <w:lang w:val="en-US"/>
        </w:rPr>
        <w:t>African Union Commission, Common Market for Eastern and Southern Africa, East African Community</w:t>
      </w:r>
      <w:r w:rsidRPr="005147F6">
        <w:rPr>
          <w:szCs w:val="20"/>
          <w:lang w:val="en-US"/>
        </w:rPr>
        <w:t xml:space="preserve">, UEMOA, </w:t>
      </w:r>
      <w:r w:rsidRPr="00F6424A">
        <w:rPr>
          <w:i/>
          <w:szCs w:val="20"/>
          <w:lang w:val="en-US"/>
        </w:rPr>
        <w:t>League of Arab States, Caribbean Development Bank</w:t>
      </w:r>
      <w:r>
        <w:rPr>
          <w:szCs w:val="20"/>
          <w:lang w:val="en-US"/>
        </w:rPr>
        <w:t xml:space="preserve">) </w:t>
      </w:r>
      <w:r w:rsidRPr="004B2667">
        <w:rPr>
          <w:szCs w:val="20"/>
          <w:lang w:val="en-US"/>
        </w:rPr>
        <w:t xml:space="preserve">en nationale organisaties </w:t>
      </w:r>
      <w:r>
        <w:rPr>
          <w:szCs w:val="20"/>
          <w:lang w:val="en-US"/>
        </w:rPr>
        <w:t xml:space="preserve">(voorbeelden zijn </w:t>
      </w:r>
      <w:r w:rsidRPr="00F6424A">
        <w:rPr>
          <w:i/>
          <w:szCs w:val="20"/>
          <w:lang w:val="en-US"/>
        </w:rPr>
        <w:t>Trade Export Promotion Agency of Saint Lucia, Maroc Export, Sri Lanka Export Development Board, Qatar Development Bank</w:t>
      </w:r>
      <w:r>
        <w:rPr>
          <w:szCs w:val="20"/>
          <w:lang w:val="en-US"/>
        </w:rPr>
        <w:t>)</w:t>
      </w:r>
      <w:r w:rsidRPr="005147F6">
        <w:rPr>
          <w:szCs w:val="20"/>
          <w:lang w:val="en-US"/>
        </w:rPr>
        <w:t xml:space="preserve">. </w:t>
      </w:r>
      <w:r w:rsidRPr="004D12D0">
        <w:rPr>
          <w:szCs w:val="20"/>
        </w:rPr>
        <w:t xml:space="preserve">ITC heeft de </w:t>
      </w:r>
      <w:r>
        <w:rPr>
          <w:szCs w:val="20"/>
        </w:rPr>
        <w:t>afgelopen</w:t>
      </w:r>
      <w:r w:rsidRPr="004D12D0">
        <w:rPr>
          <w:szCs w:val="20"/>
        </w:rPr>
        <w:t xml:space="preserve"> </w:t>
      </w:r>
      <w:r>
        <w:rPr>
          <w:szCs w:val="20"/>
        </w:rPr>
        <w:t>j</w:t>
      </w:r>
      <w:r w:rsidRPr="004D12D0">
        <w:rPr>
          <w:szCs w:val="20"/>
        </w:rPr>
        <w:t xml:space="preserve">aren ook succesvolle partnerschappen </w:t>
      </w:r>
      <w:r>
        <w:rPr>
          <w:szCs w:val="20"/>
        </w:rPr>
        <w:t>afgesloten</w:t>
      </w:r>
      <w:r w:rsidRPr="004D12D0">
        <w:rPr>
          <w:szCs w:val="20"/>
        </w:rPr>
        <w:t xml:space="preserve"> met het bedrijfsleven</w:t>
      </w:r>
      <w:r>
        <w:rPr>
          <w:szCs w:val="20"/>
        </w:rPr>
        <w:t xml:space="preserve"> </w:t>
      </w:r>
      <w:r w:rsidRPr="004D12D0">
        <w:rPr>
          <w:szCs w:val="20"/>
        </w:rPr>
        <w:t>(PepsiCo, Ebay, DHL, Alibaba, Barclay’s Bank of Kenya, Google, Parodi Group, Bosch)</w:t>
      </w:r>
      <w:r>
        <w:rPr>
          <w:szCs w:val="20"/>
        </w:rPr>
        <w:t>.</w:t>
      </w:r>
      <w:r w:rsidRPr="004D12D0">
        <w:rPr>
          <w:szCs w:val="20"/>
        </w:rPr>
        <w:t xml:space="preserve"> </w:t>
      </w:r>
      <w:r>
        <w:rPr>
          <w:szCs w:val="20"/>
        </w:rPr>
        <w:t xml:space="preserve">Ook werkt het samen met NGO’s en kennisinstellingen. </w:t>
      </w:r>
      <w:r w:rsidRPr="004B2667">
        <w:rPr>
          <w:szCs w:val="20"/>
        </w:rPr>
        <w:t xml:space="preserve">Het doel van deze partnerschappen, zoals uiteengezet in het operationeel plan 2016, is om synergie te creëren en de impact van ITC op duurzame ontwikkeling te vermenigvuldigen. </w:t>
      </w:r>
      <w:r w:rsidRPr="0090555C">
        <w:rPr>
          <w:szCs w:val="20"/>
        </w:rPr>
        <w:t xml:space="preserve">Daarnaast bevatten partnerschappen met het bedrijfsleven afspraken over financiering. </w:t>
      </w:r>
      <w:r w:rsidRPr="00E34BA3">
        <w:rPr>
          <w:szCs w:val="20"/>
        </w:rPr>
        <w:t xml:space="preserve">Met kennisinstellingen en publieke en private partijen werkt ITC aan kennisverwerving en </w:t>
      </w:r>
      <w:r>
        <w:rPr>
          <w:szCs w:val="20"/>
        </w:rPr>
        <w:t>-</w:t>
      </w:r>
      <w:r w:rsidRPr="00E34BA3">
        <w:rPr>
          <w:szCs w:val="20"/>
        </w:rPr>
        <w:t xml:space="preserve">verspreiding over </w:t>
      </w:r>
      <w:r>
        <w:rPr>
          <w:szCs w:val="20"/>
        </w:rPr>
        <w:t xml:space="preserve">het </w:t>
      </w:r>
      <w:r w:rsidR="00F6424A">
        <w:rPr>
          <w:szCs w:val="20"/>
        </w:rPr>
        <w:t>concurrerend</w:t>
      </w:r>
      <w:r>
        <w:rPr>
          <w:szCs w:val="20"/>
        </w:rPr>
        <w:t xml:space="preserve"> vermogen van MKB, handel en milieu, handel in diensten, non-tarifaire maatregelen. </w:t>
      </w:r>
    </w:p>
    <w:p w14:paraId="75FDA5C9" w14:textId="77777777" w:rsidR="00AE299D" w:rsidRDefault="00AE299D" w:rsidP="00150FE5">
      <w:pPr>
        <w:autoSpaceDE w:val="0"/>
        <w:autoSpaceDN w:val="0"/>
        <w:adjustRightInd w:val="0"/>
        <w:spacing w:line="240" w:lineRule="auto"/>
        <w:rPr>
          <w:szCs w:val="20"/>
        </w:rPr>
      </w:pPr>
    </w:p>
    <w:p w14:paraId="75FDA5CA" w14:textId="0FC2D834" w:rsidR="00AE299D" w:rsidRDefault="00AE299D" w:rsidP="00150FE5">
      <w:pPr>
        <w:autoSpaceDE w:val="0"/>
        <w:autoSpaceDN w:val="0"/>
        <w:adjustRightInd w:val="0"/>
        <w:spacing w:line="240" w:lineRule="auto"/>
        <w:rPr>
          <w:szCs w:val="20"/>
        </w:rPr>
      </w:pPr>
      <w:r w:rsidRPr="00FE5D0E">
        <w:rPr>
          <w:szCs w:val="20"/>
        </w:rPr>
        <w:t xml:space="preserve">Sinds 2015 </w:t>
      </w:r>
      <w:r>
        <w:rPr>
          <w:szCs w:val="20"/>
        </w:rPr>
        <w:t xml:space="preserve">neemt </w:t>
      </w:r>
      <w:r w:rsidRPr="00FE5D0E">
        <w:rPr>
          <w:szCs w:val="20"/>
        </w:rPr>
        <w:t xml:space="preserve">ITC </w:t>
      </w:r>
      <w:r>
        <w:rPr>
          <w:szCs w:val="20"/>
        </w:rPr>
        <w:t xml:space="preserve">deel aan het door Nederland geïnitieerde </w:t>
      </w:r>
      <w:r w:rsidRPr="00FE5D0E">
        <w:rPr>
          <w:szCs w:val="20"/>
        </w:rPr>
        <w:t xml:space="preserve">Europese </w:t>
      </w:r>
      <w:r w:rsidRPr="00FE5D0E">
        <w:rPr>
          <w:i/>
          <w:szCs w:val="20"/>
        </w:rPr>
        <w:t>Trade-Related Instruments Connected</w:t>
      </w:r>
      <w:r>
        <w:rPr>
          <w:szCs w:val="20"/>
        </w:rPr>
        <w:t xml:space="preserve"> netwerk (TRIC-netwerk) waarin deelnemende organisaties onder andere hun activiteiten op het gebied van </w:t>
      </w:r>
      <w:r w:rsidR="00F6424A">
        <w:rPr>
          <w:szCs w:val="20"/>
        </w:rPr>
        <w:t>marktinformatie</w:t>
      </w:r>
      <w:r>
        <w:rPr>
          <w:szCs w:val="20"/>
        </w:rPr>
        <w:t xml:space="preserve"> afstemmen. </w:t>
      </w:r>
    </w:p>
    <w:p w14:paraId="75FDA5CB" w14:textId="77777777" w:rsidR="00AE299D" w:rsidRPr="00E34BA3" w:rsidRDefault="00AE299D" w:rsidP="00150FE5">
      <w:pPr>
        <w:autoSpaceDE w:val="0"/>
        <w:autoSpaceDN w:val="0"/>
        <w:adjustRightInd w:val="0"/>
        <w:spacing w:line="240" w:lineRule="auto"/>
        <w:rPr>
          <w:szCs w:val="20"/>
        </w:rPr>
      </w:pPr>
    </w:p>
    <w:p w14:paraId="75FDA5CC" w14:textId="77777777" w:rsidR="00AE299D" w:rsidRPr="00E34BA3" w:rsidRDefault="00AE299D" w:rsidP="00150FE5">
      <w:pPr>
        <w:autoSpaceDE w:val="0"/>
        <w:autoSpaceDN w:val="0"/>
        <w:adjustRightInd w:val="0"/>
        <w:spacing w:line="240" w:lineRule="auto"/>
        <w:rPr>
          <w:szCs w:val="20"/>
        </w:rPr>
      </w:pPr>
      <w:r w:rsidRPr="00E34BA3">
        <w:rPr>
          <w:szCs w:val="20"/>
        </w:rPr>
        <w:t xml:space="preserve">ITC doet verslag van deze partnerschappen </w:t>
      </w:r>
      <w:r>
        <w:rPr>
          <w:szCs w:val="20"/>
        </w:rPr>
        <w:t>inclusief</w:t>
      </w:r>
      <w:r w:rsidRPr="00E34BA3">
        <w:rPr>
          <w:szCs w:val="20"/>
        </w:rPr>
        <w:t xml:space="preserve"> de bereikte resultaten in de Jaarrapportages en </w:t>
      </w:r>
      <w:r>
        <w:rPr>
          <w:szCs w:val="20"/>
        </w:rPr>
        <w:t>CCITF-</w:t>
      </w:r>
      <w:r w:rsidRPr="00E34BA3">
        <w:rPr>
          <w:szCs w:val="20"/>
        </w:rPr>
        <w:t>rap</w:t>
      </w:r>
      <w:r>
        <w:rPr>
          <w:szCs w:val="20"/>
        </w:rPr>
        <w:t>p</w:t>
      </w:r>
      <w:r w:rsidRPr="00E34BA3">
        <w:rPr>
          <w:szCs w:val="20"/>
        </w:rPr>
        <w:t>ort</w:t>
      </w:r>
      <w:r>
        <w:rPr>
          <w:szCs w:val="20"/>
        </w:rPr>
        <w:t>en</w:t>
      </w:r>
      <w:r w:rsidRPr="00E34BA3">
        <w:rPr>
          <w:szCs w:val="20"/>
        </w:rPr>
        <w:t xml:space="preserve">. </w:t>
      </w:r>
    </w:p>
    <w:p w14:paraId="48BD4B0B" w14:textId="5E14C168" w:rsidR="00912FFF" w:rsidRDefault="00912FFF" w:rsidP="00150FE5"/>
    <w:p w14:paraId="5D4C89FF" w14:textId="77777777" w:rsidR="00D224BD" w:rsidRDefault="00D224BD" w:rsidP="00150F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AE299D" w:rsidRPr="00EA0AA8" w14:paraId="75FDA5D1" w14:textId="77777777" w:rsidTr="00912FFF">
        <w:tc>
          <w:tcPr>
            <w:tcW w:w="6747" w:type="dxa"/>
            <w:tcBorders>
              <w:top w:val="single" w:sz="12" w:space="0" w:color="auto"/>
              <w:left w:val="single" w:sz="12" w:space="0" w:color="auto"/>
              <w:bottom w:val="single" w:sz="12" w:space="0" w:color="auto"/>
            </w:tcBorders>
            <w:shd w:val="clear" w:color="auto" w:fill="D0CECE"/>
          </w:tcPr>
          <w:p w14:paraId="75FDA5CF" w14:textId="240757BA" w:rsidR="00AE299D" w:rsidRPr="00EA0AA8" w:rsidRDefault="00AE299D" w:rsidP="00150FE5">
            <w:pPr>
              <w:rPr>
                <w:b/>
              </w:rPr>
            </w:pPr>
            <w:r w:rsidRPr="00EA0AA8">
              <w:rPr>
                <w:b/>
              </w:rPr>
              <w:t>Onderdeel</w:t>
            </w:r>
          </w:p>
        </w:tc>
        <w:tc>
          <w:tcPr>
            <w:tcW w:w="950" w:type="dxa"/>
            <w:tcBorders>
              <w:top w:val="single" w:sz="12" w:space="0" w:color="auto"/>
              <w:bottom w:val="single" w:sz="12" w:space="0" w:color="auto"/>
              <w:right w:val="single" w:sz="12" w:space="0" w:color="auto"/>
            </w:tcBorders>
            <w:shd w:val="clear" w:color="auto" w:fill="D0CECE"/>
          </w:tcPr>
          <w:p w14:paraId="75FDA5D0" w14:textId="77777777" w:rsidR="00AE299D" w:rsidRPr="00EA0AA8" w:rsidRDefault="00AE299D" w:rsidP="00150FE5">
            <w:pPr>
              <w:rPr>
                <w:b/>
              </w:rPr>
            </w:pPr>
            <w:r w:rsidRPr="00EA0AA8">
              <w:rPr>
                <w:b/>
              </w:rPr>
              <w:t>Score</w:t>
            </w:r>
          </w:p>
        </w:tc>
      </w:tr>
      <w:tr w:rsidR="00AE299D" w14:paraId="75FDA5D4" w14:textId="77777777" w:rsidTr="00912FFF">
        <w:tc>
          <w:tcPr>
            <w:tcW w:w="6747" w:type="dxa"/>
            <w:tcBorders>
              <w:top w:val="single" w:sz="12" w:space="0" w:color="auto"/>
              <w:left w:val="single" w:sz="12" w:space="0" w:color="auto"/>
            </w:tcBorders>
            <w:shd w:val="clear" w:color="auto" w:fill="auto"/>
          </w:tcPr>
          <w:p w14:paraId="75FDA5D2" w14:textId="77777777" w:rsidR="00AE299D" w:rsidRDefault="00AE299D" w:rsidP="00150FE5">
            <w:r>
              <w:t>Partnerschappen met andere organisaties</w:t>
            </w:r>
          </w:p>
        </w:tc>
        <w:tc>
          <w:tcPr>
            <w:tcW w:w="950" w:type="dxa"/>
            <w:tcBorders>
              <w:top w:val="single" w:sz="12" w:space="0" w:color="auto"/>
              <w:right w:val="single" w:sz="12" w:space="0" w:color="auto"/>
            </w:tcBorders>
            <w:shd w:val="clear" w:color="auto" w:fill="auto"/>
          </w:tcPr>
          <w:p w14:paraId="75FDA5D3" w14:textId="77777777" w:rsidR="00AE299D" w:rsidRDefault="00AE299D" w:rsidP="00150FE5">
            <w:r>
              <w:t>3</w:t>
            </w:r>
          </w:p>
        </w:tc>
      </w:tr>
      <w:tr w:rsidR="00AE299D" w14:paraId="75FDA5D7" w14:textId="77777777" w:rsidTr="00912FFF">
        <w:tc>
          <w:tcPr>
            <w:tcW w:w="6747" w:type="dxa"/>
            <w:tcBorders>
              <w:left w:val="single" w:sz="12" w:space="0" w:color="auto"/>
            </w:tcBorders>
            <w:shd w:val="clear" w:color="auto" w:fill="auto"/>
          </w:tcPr>
          <w:p w14:paraId="75FDA5D5" w14:textId="77777777" w:rsidR="00AE299D" w:rsidRDefault="00AE299D" w:rsidP="00150FE5">
            <w:r>
              <w:t>Visie en rol partnerschappen</w:t>
            </w:r>
          </w:p>
        </w:tc>
        <w:tc>
          <w:tcPr>
            <w:tcW w:w="950" w:type="dxa"/>
            <w:tcBorders>
              <w:right w:val="single" w:sz="12" w:space="0" w:color="auto"/>
            </w:tcBorders>
            <w:shd w:val="clear" w:color="auto" w:fill="auto"/>
          </w:tcPr>
          <w:p w14:paraId="75FDA5D6" w14:textId="77777777" w:rsidR="00AE299D" w:rsidRDefault="00AE299D" w:rsidP="00150FE5">
            <w:r>
              <w:t>3</w:t>
            </w:r>
          </w:p>
        </w:tc>
      </w:tr>
      <w:tr w:rsidR="00AE299D" w14:paraId="75FDA5DA" w14:textId="77777777" w:rsidTr="00912FFF">
        <w:tc>
          <w:tcPr>
            <w:tcW w:w="6747" w:type="dxa"/>
            <w:tcBorders>
              <w:left w:val="single" w:sz="12" w:space="0" w:color="auto"/>
            </w:tcBorders>
            <w:shd w:val="clear" w:color="auto" w:fill="auto"/>
          </w:tcPr>
          <w:p w14:paraId="75FDA5D8" w14:textId="77777777" w:rsidR="00AE299D" w:rsidRDefault="00AE299D" w:rsidP="00150FE5">
            <w:r>
              <w:lastRenderedPageBreak/>
              <w:t>Aansluiting partnerschappen met andere actoren</w:t>
            </w:r>
          </w:p>
        </w:tc>
        <w:tc>
          <w:tcPr>
            <w:tcW w:w="950" w:type="dxa"/>
            <w:tcBorders>
              <w:right w:val="single" w:sz="12" w:space="0" w:color="auto"/>
            </w:tcBorders>
            <w:shd w:val="clear" w:color="auto" w:fill="auto"/>
          </w:tcPr>
          <w:p w14:paraId="75FDA5D9" w14:textId="77777777" w:rsidR="00AE299D" w:rsidRDefault="00AE299D" w:rsidP="00150FE5">
            <w:r>
              <w:t>4</w:t>
            </w:r>
          </w:p>
        </w:tc>
      </w:tr>
      <w:tr w:rsidR="00AE299D" w14:paraId="75FDA5DD" w14:textId="77777777" w:rsidTr="00912FFF">
        <w:tc>
          <w:tcPr>
            <w:tcW w:w="6747" w:type="dxa"/>
            <w:tcBorders>
              <w:left w:val="single" w:sz="12" w:space="0" w:color="auto"/>
            </w:tcBorders>
            <w:shd w:val="clear" w:color="auto" w:fill="auto"/>
          </w:tcPr>
          <w:p w14:paraId="75FDA5DB" w14:textId="77777777" w:rsidR="00AE299D" w:rsidRDefault="00AE299D" w:rsidP="00150FE5">
            <w:r>
              <w:t>Samenwerking en coördinatie overige actoren</w:t>
            </w:r>
          </w:p>
        </w:tc>
        <w:tc>
          <w:tcPr>
            <w:tcW w:w="950" w:type="dxa"/>
            <w:tcBorders>
              <w:right w:val="single" w:sz="12" w:space="0" w:color="auto"/>
            </w:tcBorders>
            <w:shd w:val="clear" w:color="auto" w:fill="auto"/>
          </w:tcPr>
          <w:p w14:paraId="75FDA5DC" w14:textId="77777777" w:rsidR="00AE299D" w:rsidRDefault="00AE299D" w:rsidP="00150FE5">
            <w:r>
              <w:t>4</w:t>
            </w:r>
          </w:p>
        </w:tc>
      </w:tr>
      <w:tr w:rsidR="00AE299D" w:rsidRPr="00EA0AA8" w14:paraId="75FDA5E0" w14:textId="77777777" w:rsidTr="00912FFF">
        <w:tc>
          <w:tcPr>
            <w:tcW w:w="6747" w:type="dxa"/>
            <w:tcBorders>
              <w:top w:val="single" w:sz="12" w:space="0" w:color="auto"/>
              <w:left w:val="single" w:sz="12" w:space="0" w:color="auto"/>
              <w:bottom w:val="single" w:sz="12" w:space="0" w:color="auto"/>
            </w:tcBorders>
            <w:shd w:val="clear" w:color="auto" w:fill="D0CECE"/>
          </w:tcPr>
          <w:p w14:paraId="75FDA5DE" w14:textId="77777777" w:rsidR="00AE299D" w:rsidRPr="00EA0AA8" w:rsidRDefault="00AE299D" w:rsidP="00150FE5">
            <w:pPr>
              <w:rPr>
                <w:b/>
              </w:rPr>
            </w:pPr>
            <w:r w:rsidRPr="00F313B0">
              <w:rPr>
                <w:b/>
              </w:rPr>
              <w:t>TOTAAL</w:t>
            </w:r>
          </w:p>
        </w:tc>
        <w:tc>
          <w:tcPr>
            <w:tcW w:w="950" w:type="dxa"/>
            <w:tcBorders>
              <w:top w:val="single" w:sz="12" w:space="0" w:color="auto"/>
              <w:bottom w:val="single" w:sz="12" w:space="0" w:color="auto"/>
              <w:right w:val="single" w:sz="12" w:space="0" w:color="auto"/>
            </w:tcBorders>
            <w:shd w:val="clear" w:color="auto" w:fill="D0CECE"/>
          </w:tcPr>
          <w:p w14:paraId="75FDA5DF" w14:textId="77777777" w:rsidR="00AE299D" w:rsidRPr="00EA0AA8" w:rsidRDefault="00AE299D" w:rsidP="00150FE5">
            <w:pPr>
              <w:rPr>
                <w:b/>
              </w:rPr>
            </w:pPr>
            <w:r>
              <w:rPr>
                <w:b/>
              </w:rPr>
              <w:t>4</w:t>
            </w:r>
          </w:p>
        </w:tc>
      </w:tr>
    </w:tbl>
    <w:p w14:paraId="75FDA5E1" w14:textId="77777777" w:rsidR="00AE299D" w:rsidRDefault="00AE299D" w:rsidP="00150FE5"/>
    <w:p w14:paraId="75FDA5E3" w14:textId="77777777" w:rsidR="00AE299D" w:rsidRDefault="00AE299D" w:rsidP="00150FE5">
      <w:pPr>
        <w:ind w:firstLine="227"/>
        <w:rPr>
          <w:b/>
        </w:rPr>
      </w:pPr>
      <w:r w:rsidRPr="00193994">
        <w:t>Ver</w:t>
      </w:r>
      <w:r>
        <w:t>andering sinds 2015: positief</w:t>
      </w:r>
      <w:r w:rsidRPr="00193994">
        <w:t xml:space="preserve"> =  </w:t>
      </w:r>
      <w:r w:rsidRPr="00193994">
        <w:sym w:font="Wingdings" w:char="F0E9"/>
      </w:r>
    </w:p>
    <w:p w14:paraId="75FDA5E4" w14:textId="77777777" w:rsidR="00AE299D" w:rsidRDefault="00AE299D" w:rsidP="00150FE5"/>
    <w:p w14:paraId="75FDA5E5" w14:textId="7BC9A397" w:rsidR="00AE299D" w:rsidRDefault="00AE299D" w:rsidP="00150FE5">
      <w:r>
        <w:t>Op basis van de versterkte, goede samenwerking tussen ITC en Nederland (in het bijzonder met CBI) wordt het oordeel n</w:t>
      </w:r>
      <w:r w:rsidR="000D6778">
        <w:t>a</w:t>
      </w:r>
      <w:r>
        <w:t>ar boven afgerond.</w:t>
      </w:r>
    </w:p>
    <w:p w14:paraId="0195C27C" w14:textId="77777777" w:rsidR="00D224BD" w:rsidRDefault="00D224BD" w:rsidP="00150FE5"/>
    <w:p w14:paraId="75FDA5E7" w14:textId="0F6C20D3" w:rsidR="00AE299D" w:rsidRPr="00F47235" w:rsidRDefault="00CC1092" w:rsidP="00150FE5">
      <w:pPr>
        <w:pStyle w:val="Heading2"/>
        <w:tabs>
          <w:tab w:val="left" w:pos="-1162"/>
          <w:tab w:val="left" w:pos="0"/>
          <w:tab w:val="num" w:pos="1160"/>
        </w:tabs>
        <w:spacing w:line="240" w:lineRule="auto"/>
        <w:ind w:hanging="1162"/>
      </w:pPr>
      <w:bookmarkStart w:id="35" w:name="_Toc410140903"/>
      <w:bookmarkStart w:id="36" w:name="_Toc491439388"/>
      <w:r>
        <w:t>4</w:t>
      </w:r>
      <w:r w:rsidR="00AE299D" w:rsidRPr="004D372F">
        <w:t>.</w:t>
      </w:r>
      <w:r w:rsidR="00AE299D">
        <w:t>4</w:t>
      </w:r>
      <w:r w:rsidR="00AE299D" w:rsidRPr="004D372F">
        <w:t xml:space="preserve"> </w:t>
      </w:r>
      <w:r w:rsidR="00AE299D">
        <w:tab/>
        <w:t>Operationeel management</w:t>
      </w:r>
      <w:bookmarkEnd w:id="35"/>
      <w:bookmarkEnd w:id="36"/>
    </w:p>
    <w:p w14:paraId="75FDA5E8" w14:textId="6A60A0A8" w:rsidR="00AE299D" w:rsidRDefault="000D6778" w:rsidP="00150FE5">
      <w:pPr>
        <w:autoSpaceDE w:val="0"/>
        <w:autoSpaceDN w:val="0"/>
        <w:adjustRightInd w:val="0"/>
        <w:spacing w:line="240" w:lineRule="auto"/>
      </w:pPr>
      <w:r>
        <w:t>Uit de evaluaties (zie paragraaf 4,5) blijkt dat h</w:t>
      </w:r>
      <w:r w:rsidR="00AE299D">
        <w:t>et o</w:t>
      </w:r>
      <w:r>
        <w:t xml:space="preserve">perationeel management van ITC </w:t>
      </w:r>
      <w:r w:rsidR="00AE299D">
        <w:t>op orde</w:t>
      </w:r>
      <w:r>
        <w:t xml:space="preserve"> is</w:t>
      </w:r>
      <w:r w:rsidR="00AE299D">
        <w:t xml:space="preserve">. Er zijn </w:t>
      </w:r>
      <w:r>
        <w:t xml:space="preserve">verder </w:t>
      </w:r>
      <w:r w:rsidR="00AE299D">
        <w:t>geen s</w:t>
      </w:r>
      <w:r w:rsidR="00AE299D" w:rsidRPr="00E34BA3">
        <w:t xml:space="preserve">ignalen dat ITC onvoldoende </w:t>
      </w:r>
      <w:r w:rsidR="00AE299D">
        <w:t xml:space="preserve">zou </w:t>
      </w:r>
      <w:r w:rsidR="00AE299D" w:rsidRPr="00E34BA3">
        <w:t>functioneren</w:t>
      </w:r>
      <w:r w:rsidR="00AE299D">
        <w:t xml:space="preserve"> of dat het projectbeheer te kort zou schieten</w:t>
      </w:r>
      <w:r w:rsidR="00AE299D" w:rsidRPr="00E34BA3">
        <w:t xml:space="preserve">. </w:t>
      </w:r>
      <w:r w:rsidR="00AE299D" w:rsidRPr="7E1BADDD">
        <w:rPr>
          <w:rFonts w:eastAsia="Verdana" w:cs="Verdana"/>
          <w:szCs w:val="18"/>
        </w:rPr>
        <w:t xml:space="preserve">Verantwoordelijkheden voor projectbeheer zijn met de herschikking van het nieuwe strategische plan – meer dan voorheen – helder belegd </w:t>
      </w:r>
      <w:r>
        <w:rPr>
          <w:rFonts w:eastAsia="Verdana" w:cs="Verdana"/>
          <w:szCs w:val="18"/>
        </w:rPr>
        <w:t xml:space="preserve">hetgeen het opereren </w:t>
      </w:r>
      <w:r w:rsidR="00AE299D" w:rsidRPr="7E1BADDD">
        <w:rPr>
          <w:rFonts w:eastAsia="Verdana" w:cs="Verdana"/>
          <w:szCs w:val="18"/>
        </w:rPr>
        <w:t xml:space="preserve">ten goede komt. </w:t>
      </w:r>
      <w:r w:rsidR="00AE299D" w:rsidRPr="00E34BA3">
        <w:t xml:space="preserve">ITC opereert voornamelijk vanuit het hoofdkantoor in Genève; in beperkte mate heeft </w:t>
      </w:r>
      <w:r w:rsidR="00AE299D">
        <w:t xml:space="preserve">het </w:t>
      </w:r>
      <w:r w:rsidR="00AE299D" w:rsidRPr="00E34BA3">
        <w:t>lo</w:t>
      </w:r>
      <w:r w:rsidR="00AE299D">
        <w:t>k</w:t>
      </w:r>
      <w:r w:rsidR="00AE299D" w:rsidRPr="00E34BA3">
        <w:t xml:space="preserve">ale presentie. </w:t>
      </w:r>
      <w:r w:rsidR="00AE299D">
        <w:t>Wat de twee nevenkantoren betreft is geconstateerd dat het nieuwe kantoor in Addis Abeba opstartproblemen</w:t>
      </w:r>
      <w:r w:rsidR="00AE299D" w:rsidRPr="006778DC">
        <w:t xml:space="preserve"> </w:t>
      </w:r>
      <w:r w:rsidR="00AE299D">
        <w:t>ondervindt om volledig operationeel te worden</w:t>
      </w:r>
      <w:r w:rsidR="004C0F60">
        <w:t>.</w:t>
      </w:r>
    </w:p>
    <w:p w14:paraId="75FDA5E9" w14:textId="77777777" w:rsidR="00AE299D" w:rsidRDefault="00AE299D" w:rsidP="00150FE5">
      <w:pPr>
        <w:autoSpaceDE w:val="0"/>
        <w:autoSpaceDN w:val="0"/>
        <w:adjustRightInd w:val="0"/>
        <w:spacing w:line="240" w:lineRule="auto"/>
      </w:pPr>
    </w:p>
    <w:p w14:paraId="75FDA5EA" w14:textId="381C2E8C" w:rsidR="00AE299D" w:rsidRDefault="00AE299D" w:rsidP="00150FE5">
      <w:pPr>
        <w:autoSpaceDE w:val="0"/>
        <w:autoSpaceDN w:val="0"/>
        <w:adjustRightInd w:val="0"/>
        <w:spacing w:line="240" w:lineRule="auto"/>
      </w:pPr>
      <w:r>
        <w:t xml:space="preserve">Projecten worden samen met ontvangende overheden ontworpen om lokale </w:t>
      </w:r>
      <w:r w:rsidRPr="00D87E5F">
        <w:rPr>
          <w:i/>
        </w:rPr>
        <w:t>ownership</w:t>
      </w:r>
      <w:r>
        <w:t xml:space="preserve"> te waarborgen. ITC werkt nauw samen met</w:t>
      </w:r>
      <w:r w:rsidR="00F6424A">
        <w:t xml:space="preserve"> lokale handels- en investering </w:t>
      </w:r>
      <w:r>
        <w:t xml:space="preserve">ondersteuningsorganisaties en maakt ook gebruik van lokale experts. </w:t>
      </w:r>
      <w:r w:rsidRPr="7E1BADDD">
        <w:rPr>
          <w:rFonts w:eastAsia="Verdana" w:cs="Verdana"/>
          <w:szCs w:val="18"/>
        </w:rPr>
        <w:t xml:space="preserve">ITC heeft een uitgebreid netwerk van experts en bedrijfsleven in de landen waar het werkzaam is.  </w:t>
      </w:r>
    </w:p>
    <w:p w14:paraId="75FDA5EB" w14:textId="77777777" w:rsidR="00AE299D" w:rsidRPr="0090555C" w:rsidRDefault="00AE299D" w:rsidP="00150F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AE299D" w:rsidRPr="00EA0AA8" w14:paraId="75FDA5EE" w14:textId="77777777" w:rsidTr="7E1BADDD">
        <w:tc>
          <w:tcPr>
            <w:tcW w:w="6912" w:type="dxa"/>
            <w:tcBorders>
              <w:top w:val="single" w:sz="12" w:space="0" w:color="auto"/>
              <w:left w:val="single" w:sz="12" w:space="0" w:color="auto"/>
              <w:bottom w:val="single" w:sz="12" w:space="0" w:color="auto"/>
            </w:tcBorders>
            <w:shd w:val="clear" w:color="auto" w:fill="D0CECE"/>
          </w:tcPr>
          <w:p w14:paraId="75FDA5EC" w14:textId="77777777" w:rsidR="00AE299D" w:rsidRPr="00EA0AA8" w:rsidRDefault="00AE299D" w:rsidP="00150FE5">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75FDA5ED" w14:textId="77777777" w:rsidR="00AE299D" w:rsidRPr="00EA0AA8" w:rsidRDefault="00AE299D" w:rsidP="00150FE5">
            <w:pPr>
              <w:rPr>
                <w:b/>
              </w:rPr>
            </w:pPr>
            <w:r w:rsidRPr="00EA0AA8">
              <w:rPr>
                <w:b/>
              </w:rPr>
              <w:t>Score</w:t>
            </w:r>
          </w:p>
        </w:tc>
      </w:tr>
      <w:tr w:rsidR="00AE299D" w14:paraId="75FDA5F1" w14:textId="77777777" w:rsidTr="7E1BADDD">
        <w:tc>
          <w:tcPr>
            <w:tcW w:w="6912" w:type="dxa"/>
            <w:tcBorders>
              <w:top w:val="single" w:sz="12" w:space="0" w:color="auto"/>
              <w:left w:val="single" w:sz="12" w:space="0" w:color="auto"/>
            </w:tcBorders>
            <w:shd w:val="clear" w:color="auto" w:fill="auto"/>
          </w:tcPr>
          <w:p w14:paraId="75FDA5EF" w14:textId="77777777" w:rsidR="00AE299D" w:rsidRDefault="00AE299D" w:rsidP="00150FE5">
            <w:r>
              <w:t>Delegatie van bevoegdheden</w:t>
            </w:r>
          </w:p>
        </w:tc>
        <w:tc>
          <w:tcPr>
            <w:tcW w:w="955" w:type="dxa"/>
            <w:tcBorders>
              <w:top w:val="single" w:sz="12" w:space="0" w:color="auto"/>
              <w:right w:val="single" w:sz="12" w:space="0" w:color="auto"/>
            </w:tcBorders>
            <w:shd w:val="clear" w:color="auto" w:fill="auto"/>
          </w:tcPr>
          <w:p w14:paraId="75FDA5F0" w14:textId="77777777" w:rsidR="00AE299D" w:rsidRDefault="00AE299D" w:rsidP="00150FE5">
            <w:r>
              <w:t>3</w:t>
            </w:r>
          </w:p>
        </w:tc>
      </w:tr>
      <w:tr w:rsidR="00AE299D" w14:paraId="75FDA5F4" w14:textId="77777777" w:rsidTr="7E1BADDD">
        <w:tc>
          <w:tcPr>
            <w:tcW w:w="6912" w:type="dxa"/>
            <w:tcBorders>
              <w:left w:val="single" w:sz="12" w:space="0" w:color="auto"/>
            </w:tcBorders>
            <w:shd w:val="clear" w:color="auto" w:fill="auto"/>
          </w:tcPr>
          <w:p w14:paraId="75FDA5F2" w14:textId="77777777" w:rsidR="00AE299D" w:rsidRDefault="00AE299D" w:rsidP="00150FE5">
            <w:r>
              <w:t>Projectbeheer en financieel beheer</w:t>
            </w:r>
          </w:p>
        </w:tc>
        <w:tc>
          <w:tcPr>
            <w:tcW w:w="955" w:type="dxa"/>
            <w:tcBorders>
              <w:right w:val="single" w:sz="12" w:space="0" w:color="auto"/>
            </w:tcBorders>
            <w:shd w:val="clear" w:color="auto" w:fill="auto"/>
          </w:tcPr>
          <w:p w14:paraId="75FDA5F3" w14:textId="77777777" w:rsidR="00AE299D" w:rsidRDefault="00AE299D" w:rsidP="00150FE5">
            <w:r>
              <w:t>4</w:t>
            </w:r>
          </w:p>
        </w:tc>
      </w:tr>
      <w:tr w:rsidR="00AE299D" w14:paraId="75FDA5F7" w14:textId="77777777" w:rsidTr="7E1BADDD">
        <w:tc>
          <w:tcPr>
            <w:tcW w:w="6912" w:type="dxa"/>
            <w:tcBorders>
              <w:left w:val="single" w:sz="12" w:space="0" w:color="auto"/>
            </w:tcBorders>
            <w:shd w:val="clear" w:color="auto" w:fill="auto"/>
          </w:tcPr>
          <w:p w14:paraId="75FDA5F5" w14:textId="77777777" w:rsidR="00AE299D" w:rsidRDefault="00AE299D" w:rsidP="00150FE5">
            <w:r>
              <w:t>Verantwoordelijkheden en bevoegdheden decentrale kantoren</w:t>
            </w:r>
          </w:p>
        </w:tc>
        <w:tc>
          <w:tcPr>
            <w:tcW w:w="955" w:type="dxa"/>
            <w:tcBorders>
              <w:right w:val="single" w:sz="12" w:space="0" w:color="auto"/>
            </w:tcBorders>
            <w:shd w:val="clear" w:color="auto" w:fill="auto"/>
          </w:tcPr>
          <w:p w14:paraId="75FDA5F6" w14:textId="77777777" w:rsidR="00AE299D" w:rsidRDefault="00AE299D" w:rsidP="00150FE5">
            <w:r>
              <w:t>3</w:t>
            </w:r>
          </w:p>
        </w:tc>
      </w:tr>
      <w:tr w:rsidR="00AE299D" w14:paraId="75FDA5FA" w14:textId="77777777" w:rsidTr="7E1BADDD">
        <w:tc>
          <w:tcPr>
            <w:tcW w:w="6912" w:type="dxa"/>
            <w:tcBorders>
              <w:left w:val="single" w:sz="12" w:space="0" w:color="auto"/>
              <w:bottom w:val="single" w:sz="12" w:space="0" w:color="auto"/>
            </w:tcBorders>
            <w:shd w:val="clear" w:color="auto" w:fill="auto"/>
          </w:tcPr>
          <w:p w14:paraId="75FDA5F8" w14:textId="77777777" w:rsidR="00AE299D" w:rsidRDefault="00AE299D" w:rsidP="00150FE5">
            <w:r>
              <w:t>Gebruik van lokale partners en systemen</w:t>
            </w:r>
          </w:p>
        </w:tc>
        <w:tc>
          <w:tcPr>
            <w:tcW w:w="955" w:type="dxa"/>
            <w:tcBorders>
              <w:bottom w:val="single" w:sz="12" w:space="0" w:color="auto"/>
              <w:right w:val="single" w:sz="12" w:space="0" w:color="auto"/>
            </w:tcBorders>
            <w:shd w:val="clear" w:color="auto" w:fill="auto"/>
          </w:tcPr>
          <w:p w14:paraId="75FDA5F9" w14:textId="77777777" w:rsidR="00AE299D" w:rsidRDefault="00AE299D" w:rsidP="00150FE5">
            <w:r>
              <w:t>3</w:t>
            </w:r>
          </w:p>
        </w:tc>
      </w:tr>
      <w:tr w:rsidR="00AE299D" w:rsidRPr="00EA0AA8" w14:paraId="75FDA5FD" w14:textId="77777777" w:rsidTr="7E1BADDD">
        <w:tc>
          <w:tcPr>
            <w:tcW w:w="6912" w:type="dxa"/>
            <w:tcBorders>
              <w:top w:val="single" w:sz="12" w:space="0" w:color="auto"/>
              <w:left w:val="single" w:sz="12" w:space="0" w:color="auto"/>
              <w:bottom w:val="single" w:sz="12" w:space="0" w:color="auto"/>
            </w:tcBorders>
            <w:shd w:val="clear" w:color="auto" w:fill="D0CECE"/>
          </w:tcPr>
          <w:p w14:paraId="75FDA5FB" w14:textId="77777777" w:rsidR="00AE299D" w:rsidRPr="00EA0AA8" w:rsidRDefault="00AE299D" w:rsidP="00150FE5">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5FDA5FC" w14:textId="77777777" w:rsidR="00AE299D" w:rsidRPr="00EA0AA8" w:rsidRDefault="00AE299D" w:rsidP="00150FE5">
            <w:pPr>
              <w:rPr>
                <w:b/>
              </w:rPr>
            </w:pPr>
            <w:r>
              <w:rPr>
                <w:b/>
              </w:rPr>
              <w:t>3</w:t>
            </w:r>
          </w:p>
        </w:tc>
      </w:tr>
    </w:tbl>
    <w:p w14:paraId="75FDA5FE" w14:textId="77777777" w:rsidR="00AE299D" w:rsidRDefault="00AE299D" w:rsidP="00150FE5"/>
    <w:p w14:paraId="75FDA600" w14:textId="77777777" w:rsidR="00AE299D" w:rsidRDefault="00AE299D" w:rsidP="00150FE5">
      <w:pPr>
        <w:ind w:firstLine="227"/>
        <w:rPr>
          <w:b/>
        </w:rPr>
      </w:pPr>
      <w:r w:rsidRPr="00193994">
        <w:t>Ver</w:t>
      </w:r>
      <w:r>
        <w:t>andering sinds 2015: neutraal</w:t>
      </w:r>
      <w:r w:rsidRPr="00193994">
        <w:t xml:space="preserve"> = </w:t>
      </w:r>
      <w:r w:rsidRPr="00193994">
        <w:sym w:font="Wingdings" w:char="F0E8"/>
      </w:r>
    </w:p>
    <w:p w14:paraId="75FDA601" w14:textId="77777777" w:rsidR="00AE299D" w:rsidRDefault="00AE299D" w:rsidP="00150FE5"/>
    <w:p w14:paraId="75FDA603" w14:textId="29EE1B6D" w:rsidR="00AE299D" w:rsidRDefault="00CC1092" w:rsidP="00150FE5">
      <w:pPr>
        <w:pStyle w:val="Heading2"/>
        <w:tabs>
          <w:tab w:val="left" w:pos="-1162"/>
          <w:tab w:val="left" w:pos="0"/>
          <w:tab w:val="num" w:pos="1160"/>
        </w:tabs>
        <w:spacing w:line="240" w:lineRule="auto"/>
        <w:ind w:hanging="1162"/>
      </w:pPr>
      <w:bookmarkStart w:id="37" w:name="_Toc491439389"/>
      <w:r>
        <w:t>4</w:t>
      </w:r>
      <w:r w:rsidR="00AE299D">
        <w:t>.5</w:t>
      </w:r>
      <w:r w:rsidR="00AE299D">
        <w:tab/>
      </w:r>
      <w:r w:rsidR="00AE299D" w:rsidRPr="004D372F">
        <w:t>Beleidsevaluatie</w:t>
      </w:r>
      <w:bookmarkEnd w:id="37"/>
    </w:p>
    <w:p w14:paraId="75FDA604" w14:textId="146988FB" w:rsidR="00AE299D" w:rsidRDefault="00AE299D" w:rsidP="00150FE5">
      <w:pPr>
        <w:autoSpaceDE w:val="0"/>
        <w:autoSpaceDN w:val="0"/>
        <w:adjustRightInd w:val="0"/>
        <w:spacing w:line="240" w:lineRule="auto"/>
      </w:pPr>
      <w:r w:rsidRPr="00D87E5F">
        <w:t>Het gewijzigde evaluatiebeleid is in juni 2015 aangenome</w:t>
      </w:r>
      <w:r>
        <w:t xml:space="preserve">n. Het nieuwe beleid is gebaseerd op beleid van de </w:t>
      </w:r>
      <w:r w:rsidRPr="00CC1092">
        <w:rPr>
          <w:i/>
        </w:rPr>
        <w:t>United Nations Evaluation Group</w:t>
      </w:r>
      <w:r w:rsidRPr="008301FC">
        <w:t xml:space="preserve"> </w:t>
      </w:r>
      <w:r>
        <w:t xml:space="preserve">(UNEG), aanbevelingen van de onafhankelijke evaluator van ITC, en het </w:t>
      </w:r>
      <w:r w:rsidRPr="00CC1092">
        <w:rPr>
          <w:i/>
        </w:rPr>
        <w:t>Office of Internal Oversight Services</w:t>
      </w:r>
      <w:r>
        <w:t>.</w:t>
      </w:r>
    </w:p>
    <w:p w14:paraId="75FDA605" w14:textId="77777777" w:rsidR="00AE299D" w:rsidRDefault="00AE299D" w:rsidP="00150FE5">
      <w:pPr>
        <w:autoSpaceDE w:val="0"/>
        <w:autoSpaceDN w:val="0"/>
        <w:adjustRightInd w:val="0"/>
        <w:spacing w:line="240" w:lineRule="auto"/>
      </w:pPr>
      <w:r>
        <w:t xml:space="preserve"> </w:t>
      </w:r>
    </w:p>
    <w:p w14:paraId="75FDA606" w14:textId="1AF155DF" w:rsidR="00AE299D" w:rsidRPr="00DA4408" w:rsidRDefault="00AE299D" w:rsidP="00150FE5">
      <w:pPr>
        <w:autoSpaceDE w:val="0"/>
        <w:autoSpaceDN w:val="0"/>
        <w:adjustRightInd w:val="0"/>
        <w:spacing w:line="240" w:lineRule="auto"/>
      </w:pPr>
      <w:r w:rsidRPr="008301FC">
        <w:t>De onafhankelijke evaluatie</w:t>
      </w:r>
      <w:r w:rsidR="0064118D">
        <w:t xml:space="preserve"> </w:t>
      </w:r>
      <w:r w:rsidRPr="008301FC">
        <w:t xml:space="preserve">eenheid </w:t>
      </w:r>
      <w:r>
        <w:t xml:space="preserve">IEU </w:t>
      </w:r>
      <w:r w:rsidRPr="008301FC">
        <w:t xml:space="preserve">van ITC rapporteert rechtstreeks aan de </w:t>
      </w:r>
      <w:r>
        <w:t>Uitvoerend Directeur</w:t>
      </w:r>
      <w:r w:rsidRPr="008301FC">
        <w:t xml:space="preserve">. Het werkprogramma van IEU wordt gepubliceerd, evenals een jaarlijks </w:t>
      </w:r>
      <w:r w:rsidRPr="008301FC">
        <w:rPr>
          <w:i/>
        </w:rPr>
        <w:t>Evaluation Synthesis Report</w:t>
      </w:r>
      <w:r>
        <w:rPr>
          <w:i/>
        </w:rPr>
        <w:t>.</w:t>
      </w:r>
      <w:r w:rsidRPr="008301FC">
        <w:t xml:space="preserve"> </w:t>
      </w:r>
      <w:r w:rsidRPr="00DA4408">
        <w:t xml:space="preserve">UNEG en de </w:t>
      </w:r>
      <w:r w:rsidRPr="00DA4408">
        <w:rPr>
          <w:i/>
        </w:rPr>
        <w:t>Development Assistance Committee</w:t>
      </w:r>
      <w:r w:rsidRPr="00DA4408">
        <w:t xml:space="preserve"> van de Organisatie voor Economische Samenwerking en Ontwikkeling (OESO) hebben in 2016 een </w:t>
      </w:r>
      <w:r w:rsidRPr="00DA4408">
        <w:rPr>
          <w:i/>
        </w:rPr>
        <w:t>Peer Review</w:t>
      </w:r>
      <w:r w:rsidRPr="00DA4408">
        <w:t xml:space="preserve"> uitgevoerd van </w:t>
      </w:r>
      <w:r>
        <w:t xml:space="preserve">de </w:t>
      </w:r>
      <w:r w:rsidRPr="00DA4408">
        <w:t>evaluatie</w:t>
      </w:r>
      <w:r>
        <w:t>functie</w:t>
      </w:r>
      <w:r w:rsidRPr="00DA4408">
        <w:t xml:space="preserve"> bij ITC</w:t>
      </w:r>
      <w:r>
        <w:t xml:space="preserve">. De </w:t>
      </w:r>
      <w:r w:rsidRPr="00CC1092">
        <w:rPr>
          <w:i/>
        </w:rPr>
        <w:t>Peer Review</w:t>
      </w:r>
      <w:r>
        <w:t xml:space="preserve"> constateerde dat het nieuwe evaluatiebeleid een</w:t>
      </w:r>
      <w:r w:rsidR="000D6778">
        <w:t xml:space="preserve"> aanzienlijke stap vooruit was, ook met betrekking tot reikwijdte en relevantie. </w:t>
      </w:r>
      <w:r>
        <w:t xml:space="preserve">Wel diende de IEU onafhankelijker te zijn. </w:t>
      </w:r>
    </w:p>
    <w:p w14:paraId="75FDA607" w14:textId="43368E51" w:rsidR="00AE299D" w:rsidRDefault="00AE299D" w:rsidP="00150FE5"/>
    <w:p w14:paraId="4DFDD1D8" w14:textId="77777777" w:rsidR="009752DB" w:rsidRDefault="009752DB" w:rsidP="00150FE5">
      <w:r>
        <w:t>De impact evaluatie uit 2016 van NTF II (2009-2013) stelt o</w:t>
      </w:r>
      <w:r w:rsidRPr="008031A3">
        <w:t xml:space="preserve">ver de synergie tussen ITC en CBI  dat de complementaire diensten van ITC en CBI op het gebied van marketing en coaching </w:t>
      </w:r>
      <w:r>
        <w:t>voorbeeldig (“</w:t>
      </w:r>
      <w:r w:rsidRPr="00F6424A">
        <w:rPr>
          <w:i/>
        </w:rPr>
        <w:t>exemplary</w:t>
      </w:r>
      <w:r>
        <w:t>”) waren.</w:t>
      </w:r>
    </w:p>
    <w:p w14:paraId="1EFEA147" w14:textId="77777777" w:rsidR="009752DB" w:rsidRPr="00DA4408" w:rsidRDefault="009752DB" w:rsidP="00150FE5"/>
    <w:p w14:paraId="75FDA608" w14:textId="74F635E9" w:rsidR="00AE299D" w:rsidRDefault="00AE299D" w:rsidP="00150FE5">
      <w:r w:rsidRPr="008301FC">
        <w:lastRenderedPageBreak/>
        <w:t>ITC staat open voor de bevinding</w:t>
      </w:r>
      <w:r>
        <w:t>en van interne en externe evaluatoren en implementeert de aanbevelingen. De Executive Director draagt dit ook zeer nadrukkelijk uit.</w:t>
      </w:r>
    </w:p>
    <w:p w14:paraId="247F1BD0" w14:textId="6340FD56" w:rsidR="005D1B3A" w:rsidRDefault="005D1B3A" w:rsidP="00150F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3"/>
        <w:gridCol w:w="954"/>
      </w:tblGrid>
      <w:tr w:rsidR="00AE299D" w:rsidRPr="00EA0AA8" w14:paraId="75FDA60C" w14:textId="77777777" w:rsidTr="00CC1092">
        <w:tc>
          <w:tcPr>
            <w:tcW w:w="6743" w:type="dxa"/>
            <w:tcBorders>
              <w:top w:val="single" w:sz="12" w:space="0" w:color="auto"/>
              <w:left w:val="single" w:sz="12" w:space="0" w:color="auto"/>
              <w:bottom w:val="single" w:sz="12" w:space="0" w:color="auto"/>
            </w:tcBorders>
            <w:shd w:val="clear" w:color="auto" w:fill="D0CECE"/>
          </w:tcPr>
          <w:p w14:paraId="75FDA60A" w14:textId="77777777" w:rsidR="00AE299D" w:rsidRPr="00EA0AA8" w:rsidRDefault="00AE299D" w:rsidP="00150FE5">
            <w:pPr>
              <w:rPr>
                <w:b/>
              </w:rPr>
            </w:pPr>
            <w:r w:rsidRPr="00EA0AA8">
              <w:rPr>
                <w:b/>
              </w:rPr>
              <w:t>Onderdeel</w:t>
            </w:r>
          </w:p>
        </w:tc>
        <w:tc>
          <w:tcPr>
            <w:tcW w:w="954" w:type="dxa"/>
            <w:tcBorders>
              <w:top w:val="single" w:sz="12" w:space="0" w:color="auto"/>
              <w:bottom w:val="single" w:sz="12" w:space="0" w:color="auto"/>
              <w:right w:val="single" w:sz="12" w:space="0" w:color="auto"/>
            </w:tcBorders>
            <w:shd w:val="clear" w:color="auto" w:fill="D0CECE"/>
          </w:tcPr>
          <w:p w14:paraId="75FDA60B" w14:textId="77777777" w:rsidR="00AE299D" w:rsidRPr="00EA0AA8" w:rsidRDefault="00AE299D" w:rsidP="00150FE5">
            <w:pPr>
              <w:rPr>
                <w:b/>
              </w:rPr>
            </w:pPr>
            <w:r w:rsidRPr="00EA0AA8">
              <w:rPr>
                <w:b/>
              </w:rPr>
              <w:t>Score</w:t>
            </w:r>
          </w:p>
        </w:tc>
      </w:tr>
      <w:tr w:rsidR="00AE299D" w14:paraId="75FDA60F" w14:textId="77777777" w:rsidTr="00CC1092">
        <w:tc>
          <w:tcPr>
            <w:tcW w:w="6743" w:type="dxa"/>
            <w:tcBorders>
              <w:top w:val="single" w:sz="12" w:space="0" w:color="auto"/>
              <w:left w:val="single" w:sz="12" w:space="0" w:color="auto"/>
            </w:tcBorders>
            <w:shd w:val="clear" w:color="auto" w:fill="auto"/>
          </w:tcPr>
          <w:p w14:paraId="75FDA60D" w14:textId="77777777" w:rsidR="00AE299D" w:rsidRDefault="00AE299D" w:rsidP="00150FE5">
            <w:r>
              <w:t>Helder vastgelegd evaluatiebeleid</w:t>
            </w:r>
          </w:p>
        </w:tc>
        <w:tc>
          <w:tcPr>
            <w:tcW w:w="954" w:type="dxa"/>
            <w:tcBorders>
              <w:top w:val="single" w:sz="12" w:space="0" w:color="auto"/>
              <w:right w:val="single" w:sz="12" w:space="0" w:color="auto"/>
            </w:tcBorders>
            <w:shd w:val="clear" w:color="auto" w:fill="auto"/>
          </w:tcPr>
          <w:p w14:paraId="75FDA60E" w14:textId="77777777" w:rsidR="00AE299D" w:rsidRDefault="00AE299D" w:rsidP="00150FE5">
            <w:r>
              <w:t>4</w:t>
            </w:r>
          </w:p>
        </w:tc>
      </w:tr>
      <w:tr w:rsidR="00AE299D" w14:paraId="75FDA612" w14:textId="77777777" w:rsidTr="00CC1092">
        <w:tc>
          <w:tcPr>
            <w:tcW w:w="6743" w:type="dxa"/>
            <w:tcBorders>
              <w:left w:val="single" w:sz="12" w:space="0" w:color="auto"/>
            </w:tcBorders>
            <w:shd w:val="clear" w:color="auto" w:fill="auto"/>
          </w:tcPr>
          <w:p w14:paraId="75FDA610" w14:textId="77777777" w:rsidR="00AE299D" w:rsidRDefault="00AE299D" w:rsidP="00150FE5">
            <w:r>
              <w:t>Inrichting evaluatiefunctie</w:t>
            </w:r>
          </w:p>
        </w:tc>
        <w:tc>
          <w:tcPr>
            <w:tcW w:w="954" w:type="dxa"/>
            <w:tcBorders>
              <w:right w:val="single" w:sz="12" w:space="0" w:color="auto"/>
            </w:tcBorders>
            <w:shd w:val="clear" w:color="auto" w:fill="auto"/>
          </w:tcPr>
          <w:p w14:paraId="75FDA611" w14:textId="77777777" w:rsidR="00AE299D" w:rsidRDefault="00AE299D" w:rsidP="00150FE5">
            <w:r>
              <w:t>3</w:t>
            </w:r>
          </w:p>
        </w:tc>
      </w:tr>
      <w:tr w:rsidR="00AE299D" w14:paraId="75FDA615" w14:textId="77777777" w:rsidTr="00CC1092">
        <w:tc>
          <w:tcPr>
            <w:tcW w:w="6743" w:type="dxa"/>
            <w:tcBorders>
              <w:left w:val="single" w:sz="12" w:space="0" w:color="auto"/>
            </w:tcBorders>
            <w:shd w:val="clear" w:color="auto" w:fill="auto"/>
          </w:tcPr>
          <w:p w14:paraId="75FDA613" w14:textId="77777777" w:rsidR="00AE299D" w:rsidRDefault="00AE299D" w:rsidP="00150FE5">
            <w:r>
              <w:t>Onafhankelijkheid evaluatie-eenheid</w:t>
            </w:r>
          </w:p>
        </w:tc>
        <w:tc>
          <w:tcPr>
            <w:tcW w:w="954" w:type="dxa"/>
            <w:tcBorders>
              <w:right w:val="single" w:sz="12" w:space="0" w:color="auto"/>
            </w:tcBorders>
            <w:shd w:val="clear" w:color="auto" w:fill="auto"/>
          </w:tcPr>
          <w:p w14:paraId="75FDA614" w14:textId="77777777" w:rsidR="00AE299D" w:rsidRDefault="00AE299D" w:rsidP="00150FE5">
            <w:r>
              <w:t>2</w:t>
            </w:r>
          </w:p>
        </w:tc>
      </w:tr>
      <w:tr w:rsidR="00AE299D" w14:paraId="75FDA618" w14:textId="77777777" w:rsidTr="00CC1092">
        <w:tc>
          <w:tcPr>
            <w:tcW w:w="6743" w:type="dxa"/>
            <w:tcBorders>
              <w:left w:val="single" w:sz="12" w:space="0" w:color="auto"/>
            </w:tcBorders>
            <w:shd w:val="clear" w:color="auto" w:fill="auto"/>
          </w:tcPr>
          <w:p w14:paraId="75FDA616" w14:textId="77777777" w:rsidR="00AE299D" w:rsidRDefault="00AE299D" w:rsidP="00150FE5">
            <w:r>
              <w:t>Reikwijdte en relevantie evaluaties</w:t>
            </w:r>
          </w:p>
        </w:tc>
        <w:tc>
          <w:tcPr>
            <w:tcW w:w="954" w:type="dxa"/>
            <w:tcBorders>
              <w:right w:val="single" w:sz="12" w:space="0" w:color="auto"/>
            </w:tcBorders>
            <w:shd w:val="clear" w:color="auto" w:fill="auto"/>
          </w:tcPr>
          <w:p w14:paraId="75FDA617" w14:textId="77777777" w:rsidR="00AE299D" w:rsidRDefault="00AE299D" w:rsidP="00150FE5">
            <w:r>
              <w:t>3</w:t>
            </w:r>
          </w:p>
        </w:tc>
      </w:tr>
      <w:tr w:rsidR="00AE299D" w14:paraId="75FDA61B" w14:textId="77777777" w:rsidTr="00CC1092">
        <w:tc>
          <w:tcPr>
            <w:tcW w:w="6743" w:type="dxa"/>
            <w:tcBorders>
              <w:left w:val="single" w:sz="12" w:space="0" w:color="auto"/>
              <w:bottom w:val="single" w:sz="12" w:space="0" w:color="auto"/>
            </w:tcBorders>
            <w:shd w:val="clear" w:color="auto" w:fill="auto"/>
          </w:tcPr>
          <w:p w14:paraId="75FDA619" w14:textId="77777777" w:rsidR="00AE299D" w:rsidRDefault="00AE299D" w:rsidP="00150FE5">
            <w:r>
              <w:t>Follow up aanbevelingen evaluaties</w:t>
            </w:r>
          </w:p>
        </w:tc>
        <w:tc>
          <w:tcPr>
            <w:tcW w:w="954" w:type="dxa"/>
            <w:tcBorders>
              <w:bottom w:val="single" w:sz="12" w:space="0" w:color="auto"/>
              <w:right w:val="single" w:sz="12" w:space="0" w:color="auto"/>
            </w:tcBorders>
            <w:shd w:val="clear" w:color="auto" w:fill="auto"/>
          </w:tcPr>
          <w:p w14:paraId="75FDA61A" w14:textId="77777777" w:rsidR="00AE299D" w:rsidRDefault="00AE299D" w:rsidP="00150FE5">
            <w:r>
              <w:t>4</w:t>
            </w:r>
          </w:p>
        </w:tc>
      </w:tr>
      <w:tr w:rsidR="00AE299D" w:rsidRPr="00EA0AA8" w14:paraId="75FDA61E" w14:textId="77777777" w:rsidTr="00CC1092">
        <w:tc>
          <w:tcPr>
            <w:tcW w:w="6743" w:type="dxa"/>
            <w:tcBorders>
              <w:top w:val="single" w:sz="12" w:space="0" w:color="auto"/>
              <w:left w:val="single" w:sz="12" w:space="0" w:color="auto"/>
              <w:bottom w:val="single" w:sz="12" w:space="0" w:color="auto"/>
            </w:tcBorders>
            <w:shd w:val="clear" w:color="auto" w:fill="D0CECE"/>
          </w:tcPr>
          <w:p w14:paraId="75FDA61C" w14:textId="77777777" w:rsidR="00AE299D" w:rsidRPr="00EA0AA8" w:rsidRDefault="00AE299D" w:rsidP="00150FE5">
            <w:pPr>
              <w:rPr>
                <w:b/>
              </w:rPr>
            </w:pPr>
            <w:r w:rsidRPr="00F313B0">
              <w:rPr>
                <w:b/>
              </w:rPr>
              <w:t>TOTAAL</w:t>
            </w:r>
          </w:p>
        </w:tc>
        <w:tc>
          <w:tcPr>
            <w:tcW w:w="954" w:type="dxa"/>
            <w:tcBorders>
              <w:top w:val="single" w:sz="12" w:space="0" w:color="auto"/>
              <w:bottom w:val="single" w:sz="12" w:space="0" w:color="auto"/>
              <w:right w:val="single" w:sz="12" w:space="0" w:color="auto"/>
            </w:tcBorders>
            <w:shd w:val="clear" w:color="auto" w:fill="D0CECE"/>
          </w:tcPr>
          <w:p w14:paraId="75FDA61D" w14:textId="77777777" w:rsidR="00AE299D" w:rsidRPr="00EA0AA8" w:rsidRDefault="00AE299D" w:rsidP="00150FE5">
            <w:pPr>
              <w:rPr>
                <w:b/>
              </w:rPr>
            </w:pPr>
            <w:r>
              <w:rPr>
                <w:b/>
              </w:rPr>
              <w:t>3</w:t>
            </w:r>
          </w:p>
        </w:tc>
      </w:tr>
    </w:tbl>
    <w:p w14:paraId="75FDA61F" w14:textId="77777777" w:rsidR="00AE299D" w:rsidRDefault="00AE299D" w:rsidP="00150FE5"/>
    <w:p w14:paraId="75FDA621" w14:textId="57FEB762" w:rsidR="00AE299D" w:rsidRDefault="00AE299D" w:rsidP="00150FE5">
      <w:pPr>
        <w:ind w:firstLine="227"/>
      </w:pPr>
      <w:r w:rsidRPr="00DA4408">
        <w:rPr>
          <w:lang w:val="en-US"/>
        </w:rPr>
        <w:t xml:space="preserve">Verandering sinds 2015: positief =  </w:t>
      </w:r>
      <w:r w:rsidRPr="00193994">
        <w:sym w:font="Wingdings" w:char="F0E9"/>
      </w:r>
    </w:p>
    <w:p w14:paraId="61CE0C02" w14:textId="77777777" w:rsidR="004C0F60" w:rsidRPr="00DA4408" w:rsidRDefault="004C0F60" w:rsidP="00150FE5">
      <w:pPr>
        <w:ind w:firstLine="227"/>
        <w:rPr>
          <w:b/>
          <w:lang w:val="en-US"/>
        </w:rPr>
      </w:pPr>
    </w:p>
    <w:p w14:paraId="75FDA623" w14:textId="3B7B19CF" w:rsidR="00AE299D" w:rsidRPr="00DA4408" w:rsidRDefault="00CC1092" w:rsidP="00150FE5">
      <w:pPr>
        <w:pStyle w:val="Heading2"/>
        <w:tabs>
          <w:tab w:val="left" w:pos="-1162"/>
          <w:tab w:val="left" w:pos="0"/>
          <w:tab w:val="num" w:pos="1160"/>
        </w:tabs>
        <w:spacing w:line="240" w:lineRule="auto"/>
        <w:ind w:hanging="1162"/>
        <w:rPr>
          <w:b w:val="0"/>
          <w:lang w:val="en-US"/>
        </w:rPr>
      </w:pPr>
      <w:bookmarkStart w:id="38" w:name="_Toc348364671"/>
      <w:bookmarkStart w:id="39" w:name="_Toc491439390"/>
      <w:r>
        <w:rPr>
          <w:lang w:val="en-US"/>
        </w:rPr>
        <w:t>4</w:t>
      </w:r>
      <w:r w:rsidR="00AE299D" w:rsidRPr="00DA4408">
        <w:rPr>
          <w:lang w:val="en-US"/>
        </w:rPr>
        <w:t>.6</w:t>
      </w:r>
      <w:r w:rsidR="00AE299D" w:rsidRPr="00DA4408">
        <w:rPr>
          <w:lang w:val="en-US"/>
        </w:rPr>
        <w:tab/>
        <w:t>Human Resource Management</w:t>
      </w:r>
      <w:bookmarkEnd w:id="38"/>
      <w:bookmarkEnd w:id="39"/>
    </w:p>
    <w:p w14:paraId="7462EA52" w14:textId="6D1A4BC2" w:rsidR="00CC0714" w:rsidRDefault="00AE299D" w:rsidP="00150FE5">
      <w:r w:rsidRPr="00BD587F">
        <w:t>Er zi</w:t>
      </w:r>
      <w:r>
        <w:t>j</w:t>
      </w:r>
      <w:r w:rsidRPr="00BD587F">
        <w:t>n geen specifieke zorgen</w:t>
      </w:r>
      <w:r>
        <w:t xml:space="preserve"> met betrekking tot personeelsmanagement</w:t>
      </w:r>
      <w:r w:rsidRPr="00BD587F">
        <w:t>.</w:t>
      </w:r>
      <w:r w:rsidR="000D6778">
        <w:t xml:space="preserve"> Med</w:t>
      </w:r>
      <w:r w:rsidR="00CC0714">
        <w:t>ewerkers zijn doorgaans goed geë</w:t>
      </w:r>
      <w:r w:rsidR="000D6778">
        <w:t>quipeerd voo</w:t>
      </w:r>
      <w:r w:rsidR="00E20572">
        <w:t xml:space="preserve">r het uitvoeren van hun functie. </w:t>
      </w:r>
    </w:p>
    <w:p w14:paraId="5602DCC4" w14:textId="77777777" w:rsidR="00CC0714" w:rsidRDefault="00CC0714" w:rsidP="00150FE5"/>
    <w:p w14:paraId="06100DF9" w14:textId="55C21C03" w:rsidR="00CC0714" w:rsidRDefault="00484F28" w:rsidP="00150FE5">
      <w:r>
        <w:t>ITC baseert de s</w:t>
      </w:r>
      <w:r w:rsidR="00E20572">
        <w:t>alarissen op de VN-regels. Ook t</w:t>
      </w:r>
      <w:r w:rsidR="00AE299D" w:rsidRPr="00BD587F">
        <w:t>en aanzien van mobiliteit volgt ITC de VN</w:t>
      </w:r>
      <w:r w:rsidR="00AE299D">
        <w:t>.</w:t>
      </w:r>
      <w:r w:rsidR="00AE299D" w:rsidRPr="00BD587F">
        <w:t xml:space="preserve"> </w:t>
      </w:r>
      <w:r w:rsidR="00CC0714">
        <w:t xml:space="preserve">Van de 82 vacatures in de periode januari 2015 tot en met mei 2017 werden 51 extern vervuld, en 31 intern. Ondanks de relatief kleine organisatie en vrij technische aard van het werk, slaagt ITC in doorstroming van medewerkers. Zo hebben </w:t>
      </w:r>
      <w:r w:rsidR="00E20572">
        <w:t xml:space="preserve">in de genoemde periode </w:t>
      </w:r>
      <w:r w:rsidR="00CC0714">
        <w:t xml:space="preserve">32 stafleden tijdelijk functies op </w:t>
      </w:r>
      <w:r w:rsidR="00E20572">
        <w:t>een hoger niveau vervuld. ITC geeft aan dat in de afgelopen 18 maanden 23% van de medewerkers op enigerlei wijze mobiel is geweest.</w:t>
      </w:r>
    </w:p>
    <w:p w14:paraId="3A42B481" w14:textId="77777777" w:rsidR="00CC0714" w:rsidRDefault="00CC0714" w:rsidP="00150FE5"/>
    <w:p w14:paraId="75FDA624" w14:textId="7F24BF69" w:rsidR="00AE299D" w:rsidRDefault="00E20572" w:rsidP="00150FE5">
      <w:r>
        <w:t xml:space="preserve">De 315 medewerkers </w:t>
      </w:r>
      <w:r w:rsidR="00484F28">
        <w:t xml:space="preserve">van ITC </w:t>
      </w:r>
      <w:r>
        <w:t>(stand 2017) vertegenwoordigen 83 nationaliteiten</w:t>
      </w:r>
      <w:r w:rsidR="00484F28">
        <w:t>.</w:t>
      </w:r>
      <w:r w:rsidRPr="00BD587F">
        <w:t xml:space="preserve"> </w:t>
      </w:r>
      <w:r w:rsidR="00AE299D" w:rsidRPr="00BD587F">
        <w:t>In 2015 was 42% van de medewerkers afkomstig ontwikkelingslanden</w:t>
      </w:r>
      <w:r w:rsidR="00484F28">
        <w:t xml:space="preserve">. </w:t>
      </w:r>
      <w:r>
        <w:t>In dit kalenderjaar is tot dusverre 60% van de functies voor bepaalde tijd ingevuld met kandidaten uit ontwikkelingslanden.</w:t>
      </w:r>
      <w:r w:rsidR="00484F28" w:rsidRPr="00484F28">
        <w:t xml:space="preserve"> </w:t>
      </w:r>
    </w:p>
    <w:p w14:paraId="15DE2C90" w14:textId="77777777" w:rsidR="00E20572" w:rsidRPr="00BD587F" w:rsidRDefault="00E20572" w:rsidP="00150FE5"/>
    <w:p w14:paraId="75FDA625" w14:textId="7F237DFB" w:rsidR="00AE299D" w:rsidRPr="0090555C" w:rsidRDefault="00AE299D" w:rsidP="00150FE5">
      <w:r w:rsidRPr="00FE0399">
        <w:t xml:space="preserve">Intern heeft ITC een genderbeleid en neemt het deel aan het </w:t>
      </w:r>
      <w:r w:rsidRPr="00CC1092">
        <w:rPr>
          <w:i/>
        </w:rPr>
        <w:t>System-wide Action Plan on Gender Equality and the Empowerment of Women</w:t>
      </w:r>
      <w:r w:rsidRPr="00FE0399">
        <w:t xml:space="preserve"> van de VN. </w:t>
      </w:r>
      <w:r w:rsidR="00484F28">
        <w:t>Van de medewerkers was 55% vrouw, in hogere functies was dit 42% (2015)</w:t>
      </w:r>
      <w:r w:rsidR="00484F28" w:rsidRPr="00BD587F">
        <w:t>.</w:t>
      </w:r>
    </w:p>
    <w:p w14:paraId="75FDA626" w14:textId="77777777" w:rsidR="00AE299D" w:rsidRPr="0090555C" w:rsidRDefault="00AE299D" w:rsidP="00150F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AE299D" w:rsidRPr="00EA0AA8" w14:paraId="75FDA629" w14:textId="77777777" w:rsidTr="00B06CE6">
        <w:tc>
          <w:tcPr>
            <w:tcW w:w="6912" w:type="dxa"/>
            <w:tcBorders>
              <w:top w:val="single" w:sz="12" w:space="0" w:color="auto"/>
              <w:left w:val="single" w:sz="12" w:space="0" w:color="auto"/>
              <w:bottom w:val="single" w:sz="12" w:space="0" w:color="auto"/>
            </w:tcBorders>
            <w:shd w:val="clear" w:color="auto" w:fill="D0CECE"/>
          </w:tcPr>
          <w:p w14:paraId="75FDA627" w14:textId="77777777" w:rsidR="00AE299D" w:rsidRPr="00EA0AA8" w:rsidRDefault="00AE299D" w:rsidP="00150FE5">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75FDA628" w14:textId="77777777" w:rsidR="00AE299D" w:rsidRPr="00EA0AA8" w:rsidRDefault="00AE299D" w:rsidP="00150FE5">
            <w:pPr>
              <w:rPr>
                <w:b/>
              </w:rPr>
            </w:pPr>
            <w:r w:rsidRPr="00EA0AA8">
              <w:rPr>
                <w:b/>
              </w:rPr>
              <w:t>Score</w:t>
            </w:r>
          </w:p>
        </w:tc>
      </w:tr>
      <w:tr w:rsidR="00AE299D" w14:paraId="75FDA62C" w14:textId="77777777" w:rsidTr="00382AE3">
        <w:tc>
          <w:tcPr>
            <w:tcW w:w="6912" w:type="dxa"/>
            <w:tcBorders>
              <w:top w:val="single" w:sz="12" w:space="0" w:color="auto"/>
              <w:left w:val="single" w:sz="12" w:space="0" w:color="auto"/>
            </w:tcBorders>
            <w:shd w:val="clear" w:color="auto" w:fill="auto"/>
          </w:tcPr>
          <w:p w14:paraId="75FDA62A" w14:textId="77777777" w:rsidR="00AE299D" w:rsidRDefault="00AE299D" w:rsidP="00150FE5">
            <w:r>
              <w:t xml:space="preserve">Mobiliteit </w:t>
            </w:r>
          </w:p>
        </w:tc>
        <w:tc>
          <w:tcPr>
            <w:tcW w:w="955" w:type="dxa"/>
            <w:tcBorders>
              <w:top w:val="single" w:sz="12" w:space="0" w:color="auto"/>
              <w:right w:val="single" w:sz="12" w:space="0" w:color="auto"/>
            </w:tcBorders>
            <w:shd w:val="clear" w:color="auto" w:fill="auto"/>
          </w:tcPr>
          <w:p w14:paraId="75FDA62B" w14:textId="77777777" w:rsidR="00AE299D" w:rsidRDefault="00AE299D" w:rsidP="00150FE5">
            <w:r>
              <w:t>3</w:t>
            </w:r>
          </w:p>
        </w:tc>
      </w:tr>
      <w:tr w:rsidR="00AE299D" w14:paraId="75FDA62F" w14:textId="77777777" w:rsidTr="00382AE3">
        <w:tc>
          <w:tcPr>
            <w:tcW w:w="6912" w:type="dxa"/>
            <w:tcBorders>
              <w:left w:val="single" w:sz="12" w:space="0" w:color="auto"/>
            </w:tcBorders>
            <w:shd w:val="clear" w:color="auto" w:fill="auto"/>
          </w:tcPr>
          <w:p w14:paraId="75FDA62D" w14:textId="77777777" w:rsidR="00AE299D" w:rsidRDefault="00AE299D" w:rsidP="00150FE5">
            <w:r>
              <w:t xml:space="preserve">Kwaliteit </w:t>
            </w:r>
          </w:p>
        </w:tc>
        <w:tc>
          <w:tcPr>
            <w:tcW w:w="955" w:type="dxa"/>
            <w:tcBorders>
              <w:right w:val="single" w:sz="12" w:space="0" w:color="auto"/>
            </w:tcBorders>
            <w:shd w:val="clear" w:color="auto" w:fill="auto"/>
          </w:tcPr>
          <w:p w14:paraId="75FDA62E" w14:textId="77777777" w:rsidR="00AE299D" w:rsidRDefault="00AE299D" w:rsidP="00150FE5">
            <w:r>
              <w:t>3</w:t>
            </w:r>
          </w:p>
        </w:tc>
      </w:tr>
      <w:tr w:rsidR="00AE299D" w14:paraId="75FDA632" w14:textId="77777777" w:rsidTr="00382AE3">
        <w:tc>
          <w:tcPr>
            <w:tcW w:w="6912" w:type="dxa"/>
            <w:tcBorders>
              <w:left w:val="single" w:sz="12" w:space="0" w:color="auto"/>
            </w:tcBorders>
            <w:shd w:val="clear" w:color="auto" w:fill="auto"/>
          </w:tcPr>
          <w:p w14:paraId="75FDA630" w14:textId="77777777" w:rsidR="00AE299D" w:rsidRDefault="00AE299D" w:rsidP="00150FE5">
            <w:r>
              <w:t>Diversiteit</w:t>
            </w:r>
          </w:p>
        </w:tc>
        <w:tc>
          <w:tcPr>
            <w:tcW w:w="955" w:type="dxa"/>
            <w:tcBorders>
              <w:right w:val="single" w:sz="12" w:space="0" w:color="auto"/>
            </w:tcBorders>
            <w:shd w:val="clear" w:color="auto" w:fill="auto"/>
          </w:tcPr>
          <w:p w14:paraId="75FDA631" w14:textId="2A311759" w:rsidR="00AE299D" w:rsidRDefault="00AE299D" w:rsidP="00150FE5">
            <w:r>
              <w:t>4</w:t>
            </w:r>
          </w:p>
        </w:tc>
      </w:tr>
      <w:tr w:rsidR="00AE299D" w14:paraId="75FDA635" w14:textId="77777777" w:rsidTr="00382AE3">
        <w:tc>
          <w:tcPr>
            <w:tcW w:w="6912" w:type="dxa"/>
            <w:tcBorders>
              <w:left w:val="single" w:sz="12" w:space="0" w:color="auto"/>
              <w:bottom w:val="single" w:sz="12" w:space="0" w:color="auto"/>
            </w:tcBorders>
            <w:shd w:val="clear" w:color="auto" w:fill="auto"/>
          </w:tcPr>
          <w:p w14:paraId="75FDA633" w14:textId="77777777" w:rsidR="00AE299D" w:rsidRDefault="00AE299D" w:rsidP="00150FE5">
            <w:r>
              <w:t>Genderbalans</w:t>
            </w:r>
          </w:p>
        </w:tc>
        <w:tc>
          <w:tcPr>
            <w:tcW w:w="955" w:type="dxa"/>
            <w:tcBorders>
              <w:bottom w:val="single" w:sz="12" w:space="0" w:color="auto"/>
              <w:right w:val="single" w:sz="12" w:space="0" w:color="auto"/>
            </w:tcBorders>
            <w:shd w:val="clear" w:color="auto" w:fill="auto"/>
          </w:tcPr>
          <w:p w14:paraId="75FDA634" w14:textId="77777777" w:rsidR="00AE299D" w:rsidRDefault="00AE299D" w:rsidP="00150FE5">
            <w:r>
              <w:t>4</w:t>
            </w:r>
          </w:p>
        </w:tc>
      </w:tr>
      <w:tr w:rsidR="00AE299D" w:rsidRPr="00EA0AA8" w14:paraId="75FDA638" w14:textId="77777777" w:rsidTr="00B06CE6">
        <w:tc>
          <w:tcPr>
            <w:tcW w:w="6912" w:type="dxa"/>
            <w:tcBorders>
              <w:top w:val="single" w:sz="12" w:space="0" w:color="auto"/>
              <w:left w:val="single" w:sz="12" w:space="0" w:color="auto"/>
              <w:bottom w:val="single" w:sz="12" w:space="0" w:color="auto"/>
            </w:tcBorders>
            <w:shd w:val="clear" w:color="auto" w:fill="D0CECE"/>
          </w:tcPr>
          <w:p w14:paraId="75FDA636" w14:textId="77777777" w:rsidR="00AE299D" w:rsidRPr="00EA0AA8" w:rsidRDefault="00AE299D" w:rsidP="00150FE5">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5FDA637" w14:textId="77777777" w:rsidR="00AE299D" w:rsidRPr="00EA0AA8" w:rsidRDefault="00AE299D" w:rsidP="00150FE5">
            <w:pPr>
              <w:rPr>
                <w:b/>
              </w:rPr>
            </w:pPr>
            <w:r>
              <w:rPr>
                <w:b/>
              </w:rPr>
              <w:t>4</w:t>
            </w:r>
          </w:p>
        </w:tc>
      </w:tr>
    </w:tbl>
    <w:p w14:paraId="7E632742" w14:textId="77777777" w:rsidR="00CC1092" w:rsidRDefault="00CC1092" w:rsidP="00150FE5"/>
    <w:p w14:paraId="75FDA63A" w14:textId="7A7F732A" w:rsidR="00AE299D" w:rsidRDefault="00AE299D" w:rsidP="00150FE5">
      <w:pPr>
        <w:ind w:firstLine="227"/>
      </w:pPr>
      <w:r w:rsidRPr="00193994">
        <w:t>Ver</w:t>
      </w:r>
      <w:r>
        <w:t>andering sinds 2015: neutraal</w:t>
      </w:r>
      <w:r w:rsidRPr="00193994">
        <w:t xml:space="preserve"> = </w:t>
      </w:r>
      <w:r w:rsidRPr="00193994">
        <w:sym w:font="Wingdings" w:char="F0E8"/>
      </w:r>
    </w:p>
    <w:p w14:paraId="067216E2" w14:textId="77777777" w:rsidR="004C0F60" w:rsidRDefault="004C0F60" w:rsidP="00150FE5">
      <w:pPr>
        <w:ind w:firstLine="227"/>
        <w:rPr>
          <w:b/>
        </w:rPr>
      </w:pPr>
    </w:p>
    <w:p w14:paraId="75FDA63E" w14:textId="039ACCA1" w:rsidR="00AE299D" w:rsidRDefault="00CC1092" w:rsidP="00150FE5">
      <w:pPr>
        <w:pStyle w:val="Heading2"/>
        <w:tabs>
          <w:tab w:val="left" w:pos="-1162"/>
          <w:tab w:val="left" w:pos="0"/>
          <w:tab w:val="num" w:pos="1160"/>
        </w:tabs>
        <w:spacing w:line="240" w:lineRule="auto"/>
        <w:ind w:hanging="1162"/>
      </w:pPr>
      <w:bookmarkStart w:id="40" w:name="_Toc491439391"/>
      <w:r>
        <w:t>4</w:t>
      </w:r>
      <w:r w:rsidR="00AE299D">
        <w:t>.7</w:t>
      </w:r>
      <w:r w:rsidR="00AE299D" w:rsidRPr="004D372F">
        <w:t xml:space="preserve"> </w:t>
      </w:r>
      <w:r w:rsidR="00AE299D">
        <w:tab/>
      </w:r>
      <w:r w:rsidR="00AE299D" w:rsidRPr="004D372F">
        <w:t xml:space="preserve">Financiële </w:t>
      </w:r>
      <w:r w:rsidR="00AE299D">
        <w:t>stabiliteit</w:t>
      </w:r>
      <w:bookmarkEnd w:id="40"/>
    </w:p>
    <w:p w14:paraId="75FDA63F" w14:textId="77777777" w:rsidR="00AE299D" w:rsidRPr="00DA25C8" w:rsidRDefault="00AE299D" w:rsidP="00150FE5">
      <w:pPr>
        <w:pStyle w:val="BodyText1"/>
        <w:jc w:val="left"/>
        <w:rPr>
          <w:rFonts w:ascii="Verdana" w:eastAsia="Calibri" w:hAnsi="Verdana"/>
          <w:sz w:val="18"/>
          <w:szCs w:val="18"/>
          <w:lang w:val="nl-NL"/>
        </w:rPr>
      </w:pPr>
      <w:r w:rsidRPr="00DA25C8">
        <w:rPr>
          <w:rFonts w:ascii="Verdana" w:eastAsia="Calibri" w:hAnsi="Verdana"/>
          <w:sz w:val="18"/>
          <w:szCs w:val="18"/>
          <w:lang w:val="nl-NL"/>
        </w:rPr>
        <w:t xml:space="preserve">De eerdergenoemde externe en interne evaluaties gaven als aanbeveling dat verbetering nodig was met betrekking tot </w:t>
      </w:r>
      <w:r w:rsidRPr="00DA25C8">
        <w:rPr>
          <w:rFonts w:ascii="Verdana" w:eastAsia="Calibri" w:hAnsi="Verdana"/>
          <w:i/>
          <w:sz w:val="18"/>
          <w:szCs w:val="18"/>
          <w:lang w:val="nl-NL"/>
        </w:rPr>
        <w:t>cost recovery</w:t>
      </w:r>
      <w:r w:rsidRPr="00DA25C8">
        <w:rPr>
          <w:rFonts w:ascii="Verdana" w:eastAsia="Calibri" w:hAnsi="Verdana"/>
          <w:sz w:val="18"/>
          <w:szCs w:val="18"/>
          <w:lang w:val="nl-NL"/>
        </w:rPr>
        <w:t xml:space="preserve"> voor ITC projecten. Met het nieuwe </w:t>
      </w:r>
      <w:r w:rsidRPr="00DA25C8">
        <w:rPr>
          <w:rFonts w:ascii="Verdana" w:eastAsia="Calibri" w:hAnsi="Verdana"/>
          <w:i/>
          <w:sz w:val="18"/>
          <w:szCs w:val="18"/>
          <w:lang w:val="nl-NL"/>
        </w:rPr>
        <w:t>Enterprise Resource Planning</w:t>
      </w:r>
      <w:r w:rsidRPr="00DA25C8">
        <w:rPr>
          <w:rFonts w:ascii="Verdana" w:eastAsia="Calibri" w:hAnsi="Verdana"/>
          <w:sz w:val="18"/>
          <w:szCs w:val="18"/>
          <w:lang w:val="nl-NL"/>
        </w:rPr>
        <w:t xml:space="preserve"> systeem ontwikkelt ITC momenteel een </w:t>
      </w:r>
      <w:r w:rsidRPr="00CC1092">
        <w:rPr>
          <w:rFonts w:ascii="Verdana" w:eastAsia="Calibri" w:hAnsi="Verdana"/>
          <w:i/>
          <w:sz w:val="18"/>
          <w:szCs w:val="18"/>
          <w:lang w:val="nl-NL"/>
        </w:rPr>
        <w:t>full cost recovery model</w:t>
      </w:r>
      <w:r>
        <w:rPr>
          <w:rFonts w:ascii="Verdana" w:eastAsia="Calibri" w:hAnsi="Verdana"/>
          <w:sz w:val="18"/>
          <w:szCs w:val="18"/>
          <w:lang w:val="nl-NL"/>
        </w:rPr>
        <w:t xml:space="preserve"> dat uitvoering geeft aan de aanbevolen verbetering.</w:t>
      </w:r>
    </w:p>
    <w:p w14:paraId="75FDA640" w14:textId="3BB8E04F" w:rsidR="00AE299D" w:rsidRPr="00DA25C8" w:rsidRDefault="00AE299D" w:rsidP="00150FE5">
      <w:pPr>
        <w:autoSpaceDE w:val="0"/>
        <w:autoSpaceDN w:val="0"/>
        <w:adjustRightInd w:val="0"/>
        <w:spacing w:line="240" w:lineRule="auto"/>
        <w:rPr>
          <w:szCs w:val="18"/>
        </w:rPr>
      </w:pPr>
      <w:r w:rsidRPr="00DA25C8">
        <w:rPr>
          <w:szCs w:val="18"/>
        </w:rPr>
        <w:t xml:space="preserve">ITC houdt </w:t>
      </w:r>
      <w:r w:rsidRPr="00CC1092">
        <w:rPr>
          <w:i/>
          <w:szCs w:val="18"/>
        </w:rPr>
        <w:t>key performance indicators</w:t>
      </w:r>
      <w:r w:rsidR="00F6424A">
        <w:rPr>
          <w:szCs w:val="18"/>
        </w:rPr>
        <w:t xml:space="preserve"> (KPI’</w:t>
      </w:r>
      <w:r w:rsidRPr="00DA25C8">
        <w:rPr>
          <w:szCs w:val="18"/>
        </w:rPr>
        <w:t xml:space="preserve">s) bij van zijn financiële </w:t>
      </w:r>
      <w:r w:rsidRPr="00CC1092">
        <w:rPr>
          <w:i/>
          <w:szCs w:val="18"/>
        </w:rPr>
        <w:t>performance</w:t>
      </w:r>
      <w:r w:rsidRPr="00DA25C8">
        <w:rPr>
          <w:szCs w:val="18"/>
        </w:rPr>
        <w:t xml:space="preserve"> en liquiditeit, en rapporteert hierover in de </w:t>
      </w:r>
      <w:r w:rsidR="00F6424A" w:rsidRPr="00DA25C8">
        <w:rPr>
          <w:szCs w:val="18"/>
        </w:rPr>
        <w:t>CCITF-rapportages</w:t>
      </w:r>
      <w:r w:rsidRPr="00DA25C8">
        <w:rPr>
          <w:szCs w:val="18"/>
        </w:rPr>
        <w:t>. ITC heeft in 2015 een strategie ingezet om donors te bewegen meer flexibele financiering te verschaffen</w:t>
      </w:r>
      <w:r>
        <w:rPr>
          <w:szCs w:val="18"/>
        </w:rPr>
        <w:t>.</w:t>
      </w:r>
      <w:r w:rsidRPr="00DA25C8">
        <w:rPr>
          <w:szCs w:val="18"/>
        </w:rPr>
        <w:t xml:space="preserve"> </w:t>
      </w:r>
    </w:p>
    <w:p w14:paraId="75FDA641" w14:textId="77777777" w:rsidR="00AE299D" w:rsidRPr="00DA25C8" w:rsidRDefault="00AE299D" w:rsidP="00150FE5">
      <w:pPr>
        <w:autoSpaceDE w:val="0"/>
        <w:autoSpaceDN w:val="0"/>
        <w:adjustRightInd w:val="0"/>
        <w:spacing w:line="240" w:lineRule="auto"/>
        <w:rPr>
          <w:szCs w:val="18"/>
        </w:rPr>
      </w:pPr>
    </w:p>
    <w:p w14:paraId="75FDA642" w14:textId="48A0F4E0" w:rsidR="00AE299D" w:rsidRPr="00DA25C8" w:rsidRDefault="00AE299D" w:rsidP="00150FE5">
      <w:pPr>
        <w:autoSpaceDE w:val="0"/>
        <w:autoSpaceDN w:val="0"/>
        <w:adjustRightInd w:val="0"/>
        <w:spacing w:line="240" w:lineRule="auto"/>
        <w:rPr>
          <w:szCs w:val="18"/>
        </w:rPr>
      </w:pPr>
      <w:r w:rsidRPr="00DA25C8">
        <w:rPr>
          <w:szCs w:val="18"/>
        </w:rPr>
        <w:t>Als VN-instelling wordt ITC geaudit door de Board of Auditors (BoA</w:t>
      </w:r>
      <w:r w:rsidR="00F6424A" w:rsidRPr="00DA25C8">
        <w:rPr>
          <w:szCs w:val="18"/>
        </w:rPr>
        <w:t>).</w:t>
      </w:r>
      <w:r w:rsidR="00F6424A">
        <w:rPr>
          <w:szCs w:val="18"/>
        </w:rPr>
        <w:t xml:space="preserve"> De</w:t>
      </w:r>
      <w:r w:rsidRPr="00DA25C8">
        <w:rPr>
          <w:szCs w:val="18"/>
        </w:rPr>
        <w:t xml:space="preserve"> BoA heeft een goedkeurende verklaring afgegeven voor 2015 (2016 nog niet beschikbaar). Daarbij werd gewezen op het financieel tekort in dat jaar van USD 32 miljoen (tegen een overschot in 2014 van USD 7,7 miljoen). Dit tekort werd veroorzaakt door tegenvallende vrijwillige bijdragen</w:t>
      </w:r>
      <w:r>
        <w:rPr>
          <w:szCs w:val="18"/>
        </w:rPr>
        <w:t xml:space="preserve"> </w:t>
      </w:r>
      <w:r w:rsidRPr="00DA25C8">
        <w:rPr>
          <w:szCs w:val="18"/>
        </w:rPr>
        <w:t xml:space="preserve">die van USD 67,9 miljoen in 2014 zakten naar USD 31,8 miljoen in 2015. De BoA </w:t>
      </w:r>
      <w:r>
        <w:rPr>
          <w:szCs w:val="18"/>
        </w:rPr>
        <w:t>beoordeelt</w:t>
      </w:r>
      <w:r w:rsidRPr="00DA25C8">
        <w:rPr>
          <w:szCs w:val="18"/>
        </w:rPr>
        <w:t xml:space="preserve"> de liquiditeitspositie van ITC desalniettemin als gezond. </w:t>
      </w:r>
    </w:p>
    <w:p w14:paraId="75FDA643" w14:textId="77777777" w:rsidR="00AE299D" w:rsidRPr="00DA25C8" w:rsidRDefault="00AE299D" w:rsidP="00150FE5">
      <w:pPr>
        <w:autoSpaceDE w:val="0"/>
        <w:autoSpaceDN w:val="0"/>
        <w:adjustRightInd w:val="0"/>
        <w:spacing w:line="240" w:lineRule="auto"/>
        <w:rPr>
          <w:szCs w:val="18"/>
        </w:rPr>
      </w:pPr>
    </w:p>
    <w:p w14:paraId="75FDA644" w14:textId="6A57950F" w:rsidR="00AE299D" w:rsidRPr="0090555C" w:rsidRDefault="00AE299D" w:rsidP="00150FE5">
      <w:pPr>
        <w:rPr>
          <w:szCs w:val="18"/>
        </w:rPr>
      </w:pPr>
      <w:r w:rsidRPr="008D2246">
        <w:rPr>
          <w:szCs w:val="18"/>
        </w:rPr>
        <w:t xml:space="preserve">ITC publiceert een jaarrapport en rapporteert aan het CCITF en de donoren die </w:t>
      </w:r>
      <w:r w:rsidRPr="00CC1092">
        <w:rPr>
          <w:i/>
          <w:szCs w:val="18"/>
        </w:rPr>
        <w:t>core</w:t>
      </w:r>
      <w:r w:rsidRPr="008D2246">
        <w:rPr>
          <w:szCs w:val="18"/>
        </w:rPr>
        <w:t xml:space="preserve">-bijdragen geven. </w:t>
      </w:r>
      <w:r w:rsidRPr="0090555C">
        <w:rPr>
          <w:szCs w:val="18"/>
        </w:rPr>
        <w:t xml:space="preserve">Daarnaast stelt ITC specifieke rapportages op voor donoren die vrijwillige </w:t>
      </w:r>
      <w:r w:rsidR="004C0F60">
        <w:rPr>
          <w:i/>
          <w:szCs w:val="18"/>
        </w:rPr>
        <w:t>non-core</w:t>
      </w:r>
      <w:r w:rsidRPr="0090555C">
        <w:rPr>
          <w:szCs w:val="18"/>
        </w:rPr>
        <w:t xml:space="preserve"> bijdragen leveren. </w:t>
      </w:r>
    </w:p>
    <w:p w14:paraId="75FDA645" w14:textId="77777777" w:rsidR="00AE299D" w:rsidRPr="0090555C" w:rsidRDefault="00AE299D" w:rsidP="00150FE5">
      <w:pPr>
        <w:rPr>
          <w:szCs w:val="18"/>
        </w:rPr>
      </w:pPr>
    </w:p>
    <w:p w14:paraId="75FDA646" w14:textId="77777777" w:rsidR="00AE299D" w:rsidRPr="00701062" w:rsidRDefault="00AE299D" w:rsidP="00150FE5">
      <w:pPr>
        <w:rPr>
          <w:szCs w:val="18"/>
        </w:rPr>
      </w:pPr>
      <w:r w:rsidRPr="00701062">
        <w:rPr>
          <w:szCs w:val="18"/>
        </w:rPr>
        <w:t xml:space="preserve">De door Nederland ontvangen rapportages over NTF </w:t>
      </w:r>
      <w:r w:rsidRPr="008D2246">
        <w:rPr>
          <w:szCs w:val="18"/>
        </w:rPr>
        <w:t>zijn tijdig, compleet en correct. De kwaliteit is de laatste jaren toegenomen</w:t>
      </w:r>
      <w:r>
        <w:rPr>
          <w:szCs w:val="18"/>
        </w:rPr>
        <w:t>. De</w:t>
      </w:r>
      <w:r w:rsidRPr="008D2246">
        <w:rPr>
          <w:szCs w:val="18"/>
        </w:rPr>
        <w:t xml:space="preserve"> samenhang </w:t>
      </w:r>
      <w:r>
        <w:rPr>
          <w:szCs w:val="18"/>
        </w:rPr>
        <w:t>van de</w:t>
      </w:r>
      <w:r w:rsidRPr="008D2246">
        <w:rPr>
          <w:szCs w:val="18"/>
        </w:rPr>
        <w:t xml:space="preserve"> inhoudelijke rapportages </w:t>
      </w:r>
      <w:r>
        <w:rPr>
          <w:szCs w:val="18"/>
        </w:rPr>
        <w:t xml:space="preserve">met de financiële verantwoording </w:t>
      </w:r>
      <w:r w:rsidRPr="008D2246">
        <w:rPr>
          <w:szCs w:val="18"/>
        </w:rPr>
        <w:t>is goed.</w:t>
      </w:r>
    </w:p>
    <w:p w14:paraId="75FDA647" w14:textId="77777777" w:rsidR="00AE299D" w:rsidRPr="00701062" w:rsidRDefault="00AE299D" w:rsidP="00150FE5"/>
    <w:p w14:paraId="75FDA648" w14:textId="77777777" w:rsidR="00AE299D" w:rsidRPr="00701062" w:rsidRDefault="00AE299D" w:rsidP="00150F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AE299D" w:rsidRPr="00EA0AA8" w14:paraId="75FDA64B" w14:textId="77777777" w:rsidTr="00B06CE6">
        <w:tc>
          <w:tcPr>
            <w:tcW w:w="6912" w:type="dxa"/>
            <w:tcBorders>
              <w:top w:val="single" w:sz="12" w:space="0" w:color="auto"/>
              <w:left w:val="single" w:sz="12" w:space="0" w:color="auto"/>
              <w:bottom w:val="single" w:sz="12" w:space="0" w:color="auto"/>
            </w:tcBorders>
            <w:shd w:val="clear" w:color="auto" w:fill="D0CECE"/>
          </w:tcPr>
          <w:p w14:paraId="75FDA649" w14:textId="77777777" w:rsidR="00AE299D" w:rsidRPr="00EA0AA8" w:rsidRDefault="00AE299D" w:rsidP="00150FE5">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75FDA64A" w14:textId="77777777" w:rsidR="00AE299D" w:rsidRPr="00EA0AA8" w:rsidRDefault="00AE299D" w:rsidP="00150FE5">
            <w:pPr>
              <w:rPr>
                <w:b/>
              </w:rPr>
            </w:pPr>
            <w:r w:rsidRPr="00EA0AA8">
              <w:rPr>
                <w:b/>
              </w:rPr>
              <w:t>Score</w:t>
            </w:r>
          </w:p>
        </w:tc>
      </w:tr>
      <w:tr w:rsidR="00AE299D" w14:paraId="75FDA64E" w14:textId="77777777" w:rsidTr="00382AE3">
        <w:tc>
          <w:tcPr>
            <w:tcW w:w="6912" w:type="dxa"/>
            <w:tcBorders>
              <w:top w:val="single" w:sz="12" w:space="0" w:color="auto"/>
              <w:left w:val="single" w:sz="12" w:space="0" w:color="auto"/>
            </w:tcBorders>
            <w:shd w:val="clear" w:color="auto" w:fill="auto"/>
          </w:tcPr>
          <w:p w14:paraId="75FDA64C" w14:textId="77777777" w:rsidR="00AE299D" w:rsidRDefault="00AE299D" w:rsidP="00150FE5">
            <w:r>
              <w:t>Verhouding goedgekeurde begroting / ontvangen bijdragen</w:t>
            </w:r>
          </w:p>
        </w:tc>
        <w:tc>
          <w:tcPr>
            <w:tcW w:w="955" w:type="dxa"/>
            <w:tcBorders>
              <w:top w:val="single" w:sz="12" w:space="0" w:color="auto"/>
              <w:right w:val="single" w:sz="12" w:space="0" w:color="auto"/>
            </w:tcBorders>
            <w:shd w:val="clear" w:color="auto" w:fill="auto"/>
          </w:tcPr>
          <w:p w14:paraId="75FDA64D" w14:textId="77777777" w:rsidR="00AE299D" w:rsidRDefault="00AE299D" w:rsidP="00150FE5">
            <w:r>
              <w:t>3</w:t>
            </w:r>
          </w:p>
        </w:tc>
      </w:tr>
      <w:tr w:rsidR="00AE299D" w14:paraId="75FDA651" w14:textId="77777777" w:rsidTr="00382AE3">
        <w:tc>
          <w:tcPr>
            <w:tcW w:w="6912" w:type="dxa"/>
            <w:tcBorders>
              <w:left w:val="single" w:sz="12" w:space="0" w:color="auto"/>
            </w:tcBorders>
            <w:shd w:val="clear" w:color="auto" w:fill="auto"/>
          </w:tcPr>
          <w:p w14:paraId="75FDA64F" w14:textId="77777777" w:rsidR="00AE299D" w:rsidRDefault="00AE299D" w:rsidP="00150FE5">
            <w:r>
              <w:t>Liquiditeitspositie en/of solvabiliteitspositie</w:t>
            </w:r>
          </w:p>
        </w:tc>
        <w:tc>
          <w:tcPr>
            <w:tcW w:w="955" w:type="dxa"/>
            <w:tcBorders>
              <w:right w:val="single" w:sz="12" w:space="0" w:color="auto"/>
            </w:tcBorders>
            <w:shd w:val="clear" w:color="auto" w:fill="auto"/>
          </w:tcPr>
          <w:p w14:paraId="75FDA650" w14:textId="77777777" w:rsidR="00AE299D" w:rsidRDefault="00AE299D" w:rsidP="00150FE5">
            <w:r>
              <w:t>4</w:t>
            </w:r>
          </w:p>
        </w:tc>
      </w:tr>
      <w:tr w:rsidR="00AE299D" w14:paraId="75FDA654" w14:textId="77777777" w:rsidTr="00382AE3">
        <w:tc>
          <w:tcPr>
            <w:tcW w:w="6912" w:type="dxa"/>
            <w:tcBorders>
              <w:left w:val="single" w:sz="12" w:space="0" w:color="auto"/>
            </w:tcBorders>
            <w:shd w:val="clear" w:color="auto" w:fill="auto"/>
          </w:tcPr>
          <w:p w14:paraId="75FDA652" w14:textId="77777777" w:rsidR="00AE299D" w:rsidRDefault="00AE299D" w:rsidP="00150FE5">
            <w:r>
              <w:t>Interne auditfunctie</w:t>
            </w:r>
          </w:p>
        </w:tc>
        <w:tc>
          <w:tcPr>
            <w:tcW w:w="955" w:type="dxa"/>
            <w:tcBorders>
              <w:right w:val="single" w:sz="12" w:space="0" w:color="auto"/>
            </w:tcBorders>
            <w:shd w:val="clear" w:color="auto" w:fill="auto"/>
          </w:tcPr>
          <w:p w14:paraId="75FDA653" w14:textId="05CAD7BF" w:rsidR="00AE299D" w:rsidRPr="00701062" w:rsidRDefault="00AE299D" w:rsidP="00150FE5">
            <w:pPr>
              <w:rPr>
                <w:highlight w:val="yellow"/>
              </w:rPr>
            </w:pPr>
            <w:r w:rsidRPr="00CC1092">
              <w:t xml:space="preserve">3 </w:t>
            </w:r>
          </w:p>
        </w:tc>
      </w:tr>
      <w:tr w:rsidR="00AE299D" w14:paraId="75FDA657" w14:textId="77777777" w:rsidTr="00382AE3">
        <w:tc>
          <w:tcPr>
            <w:tcW w:w="6912" w:type="dxa"/>
            <w:tcBorders>
              <w:left w:val="single" w:sz="12" w:space="0" w:color="auto"/>
            </w:tcBorders>
            <w:shd w:val="clear" w:color="auto" w:fill="auto"/>
          </w:tcPr>
          <w:p w14:paraId="75FDA655" w14:textId="77777777" w:rsidR="00AE299D" w:rsidRDefault="00AE299D" w:rsidP="00150FE5">
            <w:r>
              <w:t>Kwaliteit rapportages</w:t>
            </w:r>
          </w:p>
        </w:tc>
        <w:tc>
          <w:tcPr>
            <w:tcW w:w="955" w:type="dxa"/>
            <w:tcBorders>
              <w:right w:val="single" w:sz="12" w:space="0" w:color="auto"/>
            </w:tcBorders>
            <w:shd w:val="clear" w:color="auto" w:fill="auto"/>
          </w:tcPr>
          <w:p w14:paraId="75FDA656" w14:textId="77777777" w:rsidR="00AE299D" w:rsidRPr="008D2246" w:rsidRDefault="00AE299D" w:rsidP="00150FE5">
            <w:r w:rsidRPr="008D2246">
              <w:t>4</w:t>
            </w:r>
          </w:p>
        </w:tc>
      </w:tr>
      <w:tr w:rsidR="00AE299D" w14:paraId="75FDA65A" w14:textId="77777777" w:rsidTr="00382AE3">
        <w:tc>
          <w:tcPr>
            <w:tcW w:w="6912" w:type="dxa"/>
            <w:tcBorders>
              <w:left w:val="single" w:sz="12" w:space="0" w:color="auto"/>
            </w:tcBorders>
            <w:shd w:val="clear" w:color="auto" w:fill="auto"/>
          </w:tcPr>
          <w:p w14:paraId="75FDA658" w14:textId="77777777" w:rsidR="00AE299D" w:rsidRDefault="00AE299D" w:rsidP="00150FE5">
            <w:r>
              <w:t>Samenhang tussen inhoudelijke en financiële rapportages</w:t>
            </w:r>
          </w:p>
        </w:tc>
        <w:tc>
          <w:tcPr>
            <w:tcW w:w="955" w:type="dxa"/>
            <w:tcBorders>
              <w:right w:val="single" w:sz="12" w:space="0" w:color="auto"/>
            </w:tcBorders>
            <w:shd w:val="clear" w:color="auto" w:fill="auto"/>
          </w:tcPr>
          <w:p w14:paraId="75FDA659" w14:textId="77777777" w:rsidR="00AE299D" w:rsidRPr="008D2246" w:rsidRDefault="00AE299D" w:rsidP="00150FE5">
            <w:r w:rsidRPr="008D2246">
              <w:t>4</w:t>
            </w:r>
          </w:p>
        </w:tc>
      </w:tr>
      <w:tr w:rsidR="00AE299D" w:rsidRPr="00EA0AA8" w14:paraId="75FDA65D" w14:textId="77777777" w:rsidTr="00B06CE6">
        <w:tc>
          <w:tcPr>
            <w:tcW w:w="6912" w:type="dxa"/>
            <w:tcBorders>
              <w:top w:val="single" w:sz="12" w:space="0" w:color="auto"/>
              <w:left w:val="single" w:sz="12" w:space="0" w:color="auto"/>
              <w:bottom w:val="single" w:sz="12" w:space="0" w:color="auto"/>
            </w:tcBorders>
            <w:shd w:val="clear" w:color="auto" w:fill="D0CECE"/>
          </w:tcPr>
          <w:p w14:paraId="75FDA65B" w14:textId="77777777" w:rsidR="00AE299D" w:rsidRPr="00EA0AA8" w:rsidRDefault="00AE299D" w:rsidP="00150FE5">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5FDA65C" w14:textId="77777777" w:rsidR="00AE299D" w:rsidRPr="00EA0AA8" w:rsidRDefault="00AE299D" w:rsidP="00150FE5">
            <w:pPr>
              <w:rPr>
                <w:b/>
              </w:rPr>
            </w:pPr>
            <w:r>
              <w:rPr>
                <w:b/>
              </w:rPr>
              <w:t>3</w:t>
            </w:r>
          </w:p>
        </w:tc>
      </w:tr>
    </w:tbl>
    <w:p w14:paraId="75FDA65E" w14:textId="77777777" w:rsidR="00AE299D" w:rsidRDefault="00AE299D" w:rsidP="00150FE5"/>
    <w:p w14:paraId="75FDA660" w14:textId="77777777" w:rsidR="00AE299D" w:rsidRDefault="00AE299D" w:rsidP="00150FE5">
      <w:pPr>
        <w:ind w:firstLine="227"/>
        <w:rPr>
          <w:b/>
        </w:rPr>
      </w:pPr>
      <w:r w:rsidRPr="00193994">
        <w:t>Ver</w:t>
      </w:r>
      <w:r>
        <w:t>andering sinds 2015: neutraal</w:t>
      </w:r>
      <w:r w:rsidRPr="00193994">
        <w:t xml:space="preserve"> = </w:t>
      </w:r>
      <w:r w:rsidRPr="00193994">
        <w:sym w:font="Wingdings" w:char="F0E8"/>
      </w:r>
    </w:p>
    <w:p w14:paraId="75FDA661" w14:textId="63B5F148" w:rsidR="00AE299D" w:rsidRDefault="00AE299D" w:rsidP="00150FE5"/>
    <w:p w14:paraId="04B111C0" w14:textId="6FAF66D9" w:rsidR="00CC1092" w:rsidRDefault="00CC1092" w:rsidP="00150FE5">
      <w:r>
        <w:t>Afronding naar beneden vanwege de lastige financiële positie van enkele donoren de afgelopen jaren hetgeen een risico met zich meebrengt van lagere vrijwillige bijdragen.</w:t>
      </w:r>
    </w:p>
    <w:p w14:paraId="37098E17" w14:textId="77777777" w:rsidR="00D224BD" w:rsidRDefault="00D224BD" w:rsidP="00150FE5"/>
    <w:p w14:paraId="75FDA662" w14:textId="6D5A5F5F" w:rsidR="00AE299D" w:rsidRDefault="00CC1092" w:rsidP="00150FE5">
      <w:pPr>
        <w:pStyle w:val="Heading2"/>
        <w:tabs>
          <w:tab w:val="left" w:pos="-1162"/>
          <w:tab w:val="left" w:pos="0"/>
          <w:tab w:val="num" w:pos="1160"/>
        </w:tabs>
        <w:spacing w:line="240" w:lineRule="auto"/>
        <w:ind w:hanging="1162"/>
      </w:pPr>
      <w:bookmarkStart w:id="41" w:name="_Toc491439392"/>
      <w:r>
        <w:t>4</w:t>
      </w:r>
      <w:r w:rsidR="00AE299D">
        <w:t>.8</w:t>
      </w:r>
      <w:r w:rsidR="00AE299D" w:rsidRPr="004D372F">
        <w:t xml:space="preserve"> </w:t>
      </w:r>
      <w:r w:rsidR="00AE299D">
        <w:tab/>
        <w:t>Kosten</w:t>
      </w:r>
      <w:r w:rsidR="00B97409">
        <w:t>reductie</w:t>
      </w:r>
      <w:bookmarkEnd w:id="41"/>
    </w:p>
    <w:p w14:paraId="69446F02" w14:textId="61DF1DE6" w:rsidR="00484F28" w:rsidRDefault="00AE299D" w:rsidP="00150FE5">
      <w:pPr>
        <w:spacing w:after="120" w:line="240" w:lineRule="auto"/>
        <w:rPr>
          <w:rFonts w:eastAsia="Verdana" w:cs="Verdana"/>
          <w:szCs w:val="18"/>
        </w:rPr>
      </w:pPr>
      <w:r w:rsidRPr="006F3FB2">
        <w:t xml:space="preserve">De overheadkosten van </w:t>
      </w:r>
      <w:r>
        <w:t>ITC-</w:t>
      </w:r>
      <w:r w:rsidRPr="006F3FB2">
        <w:t>projecten variëren tussen</w:t>
      </w:r>
      <w:r>
        <w:t xml:space="preserve"> de</w:t>
      </w:r>
      <w:r w:rsidRPr="006F3FB2">
        <w:t xml:space="preserve"> 7 en 13 procent, conform het beleid van de VN Controller</w:t>
      </w:r>
      <w:r>
        <w:t>. De overheadkosten van NTF vertonen sinds 2013 een dalende lijn</w:t>
      </w:r>
      <w:r w:rsidRPr="008021CE">
        <w:t xml:space="preserve">. </w:t>
      </w:r>
      <w:r>
        <w:t xml:space="preserve">ITC werkt aan de overgang naar </w:t>
      </w:r>
      <w:r w:rsidRPr="00040A45">
        <w:rPr>
          <w:i/>
        </w:rPr>
        <w:t>full cost recovery</w:t>
      </w:r>
      <w:r w:rsidR="00DC287E">
        <w:t xml:space="preserve"> (zie paragraaf 3.7). </w:t>
      </w:r>
      <w:r w:rsidR="00E55D0B">
        <w:t xml:space="preserve">Uit de samenwerking met ITC komt de </w:t>
      </w:r>
      <w:r w:rsidRPr="7E1BADDD">
        <w:rPr>
          <w:rFonts w:eastAsia="Verdana" w:cs="Verdana"/>
          <w:szCs w:val="18"/>
        </w:rPr>
        <w:t xml:space="preserve">indruk </w:t>
      </w:r>
      <w:r w:rsidR="00E55D0B">
        <w:rPr>
          <w:rFonts w:eastAsia="Verdana" w:cs="Verdana"/>
          <w:szCs w:val="18"/>
        </w:rPr>
        <w:t>naar voren</w:t>
      </w:r>
      <w:r w:rsidRPr="7E1BADDD">
        <w:rPr>
          <w:rFonts w:eastAsia="Verdana" w:cs="Verdana"/>
          <w:szCs w:val="18"/>
        </w:rPr>
        <w:t xml:space="preserve"> dat ITC kosten</w:t>
      </w:r>
      <w:r w:rsidR="00F6424A">
        <w:rPr>
          <w:rFonts w:eastAsia="Verdana" w:cs="Verdana"/>
          <w:szCs w:val="18"/>
        </w:rPr>
        <w:t xml:space="preserve"> </w:t>
      </w:r>
      <w:r w:rsidRPr="7E1BADDD">
        <w:rPr>
          <w:rFonts w:eastAsia="Verdana" w:cs="Verdana"/>
          <w:szCs w:val="18"/>
        </w:rPr>
        <w:t xml:space="preserve">effectiever zou kunnen opereren door efficiënter om te gaan met personeelsinzet. In het huidige strategische plan zijn daar belangrijke stappen in gezet. </w:t>
      </w:r>
    </w:p>
    <w:p w14:paraId="75FDA664" w14:textId="12EC7674" w:rsidR="00AE299D" w:rsidRPr="008021CE" w:rsidRDefault="00484F28" w:rsidP="00150FE5">
      <w:pPr>
        <w:spacing w:after="120" w:line="240" w:lineRule="auto"/>
      </w:pPr>
      <w:r>
        <w:rPr>
          <w:rFonts w:eastAsia="Verdana" w:cs="Verdana"/>
          <w:szCs w:val="18"/>
        </w:rPr>
        <w:t xml:space="preserve">Zoals in 4.6 opgemerkt volgt ITC met </w:t>
      </w:r>
      <w:r>
        <w:t xml:space="preserve">salarissen en arbeidsvoorwaarden </w:t>
      </w:r>
      <w:r>
        <w:rPr>
          <w:rFonts w:eastAsia="Verdana" w:cs="Verdana"/>
          <w:szCs w:val="18"/>
        </w:rPr>
        <w:t xml:space="preserve">de VN </w:t>
      </w:r>
      <w:r w:rsidRPr="00F6424A">
        <w:rPr>
          <w:rFonts w:eastAsia="Verdana" w:cs="Verdana"/>
          <w:i/>
          <w:szCs w:val="18"/>
        </w:rPr>
        <w:t>Staff Rules</w:t>
      </w:r>
      <w:r>
        <w:rPr>
          <w:rFonts w:eastAsia="Verdana" w:cs="Verdana"/>
          <w:szCs w:val="18"/>
        </w:rPr>
        <w:t xml:space="preserve">. Voor versobering </w:t>
      </w:r>
      <w:r w:rsidR="00E55D0B">
        <w:t xml:space="preserve">is ITC </w:t>
      </w:r>
      <w:r>
        <w:t xml:space="preserve">daardoor </w:t>
      </w:r>
      <w:r w:rsidR="00E55D0B">
        <w:t xml:space="preserve">afhankelijk </w:t>
      </w:r>
      <w:r>
        <w:t>van de VN</w:t>
      </w:r>
      <w:r w:rsidR="00E55D0B">
        <w:t>.</w:t>
      </w:r>
    </w:p>
    <w:p w14:paraId="75FDA665" w14:textId="77777777" w:rsidR="00AE299D" w:rsidRPr="008021CE" w:rsidRDefault="00AE299D" w:rsidP="00150F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AE299D" w:rsidRPr="00EA0AA8" w14:paraId="75FDA668" w14:textId="77777777" w:rsidTr="00B06CE6">
        <w:tc>
          <w:tcPr>
            <w:tcW w:w="6912" w:type="dxa"/>
            <w:tcBorders>
              <w:top w:val="single" w:sz="12" w:space="0" w:color="auto"/>
              <w:left w:val="single" w:sz="12" w:space="0" w:color="auto"/>
              <w:bottom w:val="single" w:sz="12" w:space="0" w:color="auto"/>
            </w:tcBorders>
            <w:shd w:val="clear" w:color="auto" w:fill="D0CECE"/>
          </w:tcPr>
          <w:p w14:paraId="75FDA666" w14:textId="77777777" w:rsidR="00AE299D" w:rsidRPr="00EA0AA8" w:rsidRDefault="00AE299D" w:rsidP="00150FE5">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75FDA667" w14:textId="77777777" w:rsidR="00AE299D" w:rsidRPr="00EA0AA8" w:rsidRDefault="00AE299D" w:rsidP="00150FE5">
            <w:pPr>
              <w:rPr>
                <w:b/>
              </w:rPr>
            </w:pPr>
            <w:r w:rsidRPr="00EA0AA8">
              <w:rPr>
                <w:b/>
              </w:rPr>
              <w:t>Score</w:t>
            </w:r>
          </w:p>
        </w:tc>
      </w:tr>
      <w:tr w:rsidR="00AE299D" w14:paraId="75FDA66B" w14:textId="77777777" w:rsidTr="00382AE3">
        <w:tc>
          <w:tcPr>
            <w:tcW w:w="6912" w:type="dxa"/>
            <w:tcBorders>
              <w:top w:val="single" w:sz="12" w:space="0" w:color="auto"/>
              <w:left w:val="single" w:sz="12" w:space="0" w:color="auto"/>
            </w:tcBorders>
            <w:shd w:val="clear" w:color="auto" w:fill="auto"/>
          </w:tcPr>
          <w:p w14:paraId="75FDA669" w14:textId="77777777" w:rsidR="00AE299D" w:rsidRDefault="00AE299D" w:rsidP="00150FE5">
            <w:r>
              <w:t>Verhouding programma-uitgaven/overhead</w:t>
            </w:r>
          </w:p>
        </w:tc>
        <w:tc>
          <w:tcPr>
            <w:tcW w:w="955" w:type="dxa"/>
            <w:tcBorders>
              <w:top w:val="single" w:sz="12" w:space="0" w:color="auto"/>
              <w:right w:val="single" w:sz="12" w:space="0" w:color="auto"/>
            </w:tcBorders>
            <w:shd w:val="clear" w:color="auto" w:fill="auto"/>
          </w:tcPr>
          <w:p w14:paraId="75FDA66A" w14:textId="77777777" w:rsidR="00AE299D" w:rsidRDefault="00AE299D" w:rsidP="00150FE5">
            <w:r>
              <w:t>3</w:t>
            </w:r>
          </w:p>
        </w:tc>
      </w:tr>
      <w:tr w:rsidR="00AE299D" w14:paraId="75FDA66E" w14:textId="77777777" w:rsidTr="00382AE3">
        <w:tc>
          <w:tcPr>
            <w:tcW w:w="6912" w:type="dxa"/>
            <w:tcBorders>
              <w:left w:val="single" w:sz="12" w:space="0" w:color="auto"/>
            </w:tcBorders>
            <w:shd w:val="clear" w:color="auto" w:fill="auto"/>
          </w:tcPr>
          <w:p w14:paraId="75FDA66C" w14:textId="77777777" w:rsidR="00AE299D" w:rsidRDefault="00AE299D" w:rsidP="00150FE5">
            <w:r>
              <w:t>Kosteneffectiviteit programma’s</w:t>
            </w:r>
          </w:p>
        </w:tc>
        <w:tc>
          <w:tcPr>
            <w:tcW w:w="955" w:type="dxa"/>
            <w:tcBorders>
              <w:right w:val="single" w:sz="12" w:space="0" w:color="auto"/>
            </w:tcBorders>
            <w:shd w:val="clear" w:color="auto" w:fill="auto"/>
          </w:tcPr>
          <w:p w14:paraId="75FDA66D" w14:textId="77777777" w:rsidR="00AE299D" w:rsidRDefault="00AE299D" w:rsidP="00150FE5">
            <w:r>
              <w:t>3</w:t>
            </w:r>
          </w:p>
        </w:tc>
      </w:tr>
      <w:tr w:rsidR="00AE299D" w14:paraId="75FDA671" w14:textId="77777777" w:rsidTr="00382AE3">
        <w:tc>
          <w:tcPr>
            <w:tcW w:w="6912" w:type="dxa"/>
            <w:tcBorders>
              <w:left w:val="single" w:sz="12" w:space="0" w:color="auto"/>
            </w:tcBorders>
            <w:shd w:val="clear" w:color="auto" w:fill="auto"/>
          </w:tcPr>
          <w:p w14:paraId="75FDA66F" w14:textId="77777777" w:rsidR="00AE299D" w:rsidRDefault="00AE299D" w:rsidP="00150FE5">
            <w:r>
              <w:t>Versobering salarissen en secundaire arbeidsvoorwaarden</w:t>
            </w:r>
          </w:p>
        </w:tc>
        <w:tc>
          <w:tcPr>
            <w:tcW w:w="955" w:type="dxa"/>
            <w:tcBorders>
              <w:right w:val="single" w:sz="12" w:space="0" w:color="auto"/>
            </w:tcBorders>
            <w:shd w:val="clear" w:color="auto" w:fill="auto"/>
          </w:tcPr>
          <w:p w14:paraId="75FDA670" w14:textId="77777777" w:rsidR="00AE299D" w:rsidRDefault="00AE299D" w:rsidP="00150FE5">
            <w:r>
              <w:t>3</w:t>
            </w:r>
          </w:p>
        </w:tc>
      </w:tr>
      <w:tr w:rsidR="00AE299D" w:rsidRPr="00EA0AA8" w14:paraId="75FDA674" w14:textId="77777777" w:rsidTr="00B06CE6">
        <w:tc>
          <w:tcPr>
            <w:tcW w:w="6912" w:type="dxa"/>
            <w:tcBorders>
              <w:top w:val="single" w:sz="12" w:space="0" w:color="auto"/>
              <w:left w:val="single" w:sz="12" w:space="0" w:color="auto"/>
              <w:bottom w:val="single" w:sz="12" w:space="0" w:color="auto"/>
            </w:tcBorders>
            <w:shd w:val="clear" w:color="auto" w:fill="D0CECE"/>
          </w:tcPr>
          <w:p w14:paraId="75FDA672" w14:textId="77777777" w:rsidR="00AE299D" w:rsidRPr="00EA0AA8" w:rsidRDefault="00AE299D" w:rsidP="00150FE5">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5FDA673" w14:textId="77777777" w:rsidR="00AE299D" w:rsidRPr="00EA0AA8" w:rsidRDefault="00AE299D" w:rsidP="00150FE5">
            <w:pPr>
              <w:rPr>
                <w:b/>
              </w:rPr>
            </w:pPr>
            <w:r>
              <w:rPr>
                <w:b/>
              </w:rPr>
              <w:t>3</w:t>
            </w:r>
          </w:p>
        </w:tc>
      </w:tr>
    </w:tbl>
    <w:p w14:paraId="75FDA675" w14:textId="77777777" w:rsidR="00AE299D" w:rsidRDefault="00AE299D" w:rsidP="00150FE5"/>
    <w:p w14:paraId="75FDA677" w14:textId="77777777" w:rsidR="00AE299D" w:rsidRPr="006A670C" w:rsidRDefault="00AE299D" w:rsidP="00150FE5">
      <w:pPr>
        <w:ind w:firstLine="227"/>
      </w:pPr>
      <w:r w:rsidRPr="00193994">
        <w:t>Ver</w:t>
      </w:r>
      <w:r>
        <w:t>andering sinds 2015: neutraal</w:t>
      </w:r>
      <w:r w:rsidRPr="00193994">
        <w:t xml:space="preserve"> = </w:t>
      </w:r>
      <w:r w:rsidRPr="00193994">
        <w:sym w:font="Wingdings" w:char="F0E8"/>
      </w:r>
    </w:p>
    <w:p w14:paraId="75FDA678" w14:textId="77777777" w:rsidR="00AE299D" w:rsidRDefault="00AE299D" w:rsidP="00150FE5"/>
    <w:p w14:paraId="75FDA679" w14:textId="44D08273" w:rsidR="00AE299D" w:rsidRPr="004D372F" w:rsidRDefault="00912FFF" w:rsidP="00150FE5">
      <w:pPr>
        <w:pStyle w:val="Heading2"/>
        <w:tabs>
          <w:tab w:val="left" w:pos="-1162"/>
          <w:tab w:val="left" w:pos="0"/>
          <w:tab w:val="num" w:pos="1160"/>
        </w:tabs>
        <w:spacing w:line="240" w:lineRule="auto"/>
        <w:ind w:hanging="1162"/>
      </w:pPr>
      <w:bookmarkStart w:id="42" w:name="_Toc491439393"/>
      <w:r>
        <w:lastRenderedPageBreak/>
        <w:t>4</w:t>
      </w:r>
      <w:r w:rsidR="00AE299D">
        <w:t>.9</w:t>
      </w:r>
      <w:r w:rsidR="00AE299D" w:rsidRPr="004D372F">
        <w:t xml:space="preserve"> </w:t>
      </w:r>
      <w:r w:rsidR="00AE299D">
        <w:tab/>
      </w:r>
      <w:r w:rsidR="00AE299D" w:rsidRPr="004D372F">
        <w:t>Corruptiebestrijding</w:t>
      </w:r>
      <w:bookmarkEnd w:id="42"/>
      <w:r w:rsidR="00AE299D">
        <w:t xml:space="preserve"> </w:t>
      </w:r>
    </w:p>
    <w:p w14:paraId="75FDA67B" w14:textId="3E79A85B" w:rsidR="005D1B3A" w:rsidRDefault="00AE299D" w:rsidP="00150FE5">
      <w:r w:rsidRPr="00C25F3D">
        <w:t xml:space="preserve">ITC voldoet aan </w:t>
      </w:r>
      <w:r>
        <w:t>d</w:t>
      </w:r>
      <w:r w:rsidRPr="00C25F3D">
        <w:t xml:space="preserve">e VN-regels en </w:t>
      </w:r>
      <w:r>
        <w:t>-</w:t>
      </w:r>
      <w:r w:rsidRPr="00C25F3D">
        <w:t>procedures op het gebied van fraude en corruptie</w:t>
      </w:r>
      <w:r>
        <w:t xml:space="preserve">. </w:t>
      </w:r>
      <w:r w:rsidR="00040A45">
        <w:t xml:space="preserve">Het VN-raamwerk geeft richtlijnen over de rollen en verantwoordelijkheden bij het voorkómen van fraude. ITC stelt een </w:t>
      </w:r>
      <w:r w:rsidR="00040A45" w:rsidRPr="00040A45">
        <w:rPr>
          <w:i/>
        </w:rPr>
        <w:t>zero tolerance</w:t>
      </w:r>
      <w:r w:rsidR="00040A45">
        <w:t xml:space="preserve"> beleid te hanteren ten aanzien van fraude. Begin 2017 heeft ITC alle medewerkers een verplichte anti-fraude training laten doorlopen. </w:t>
      </w:r>
      <w:r w:rsidR="00C25F3D" w:rsidRPr="00C25F3D">
        <w:t>ITC heeft geen enkel geval van fra</w:t>
      </w:r>
      <w:r w:rsidR="00C25F3D">
        <w:t>u</w:t>
      </w:r>
      <w:r w:rsidR="00C25F3D" w:rsidRPr="00C25F3D">
        <w:t xml:space="preserve">de geconstateerd in de afgelopen 10 jaar. </w:t>
      </w:r>
    </w:p>
    <w:p w14:paraId="75FDA67C" w14:textId="77777777" w:rsidR="000A22CF" w:rsidRPr="0090555C" w:rsidRDefault="000A22CF" w:rsidP="00150F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75FDA67F" w14:textId="77777777" w:rsidTr="00B06CE6">
        <w:tc>
          <w:tcPr>
            <w:tcW w:w="6912" w:type="dxa"/>
            <w:tcBorders>
              <w:top w:val="single" w:sz="12" w:space="0" w:color="auto"/>
              <w:left w:val="single" w:sz="12" w:space="0" w:color="auto"/>
              <w:bottom w:val="single" w:sz="12" w:space="0" w:color="auto"/>
            </w:tcBorders>
            <w:shd w:val="clear" w:color="auto" w:fill="D0CECE"/>
          </w:tcPr>
          <w:p w14:paraId="75FDA67D" w14:textId="77777777" w:rsidR="002A310E" w:rsidRPr="00EA0AA8" w:rsidRDefault="002A310E" w:rsidP="00150FE5">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75FDA67E" w14:textId="77777777" w:rsidR="002A310E" w:rsidRPr="00EA0AA8" w:rsidRDefault="002A310E" w:rsidP="00150FE5">
            <w:pPr>
              <w:rPr>
                <w:b/>
              </w:rPr>
            </w:pPr>
            <w:r w:rsidRPr="00EA0AA8">
              <w:rPr>
                <w:b/>
              </w:rPr>
              <w:t>Score</w:t>
            </w:r>
          </w:p>
        </w:tc>
      </w:tr>
      <w:tr w:rsidR="002A310E" w14:paraId="75FDA682" w14:textId="77777777" w:rsidTr="00382AE3">
        <w:tc>
          <w:tcPr>
            <w:tcW w:w="6912" w:type="dxa"/>
            <w:tcBorders>
              <w:top w:val="single" w:sz="12" w:space="0" w:color="auto"/>
              <w:left w:val="single" w:sz="12" w:space="0" w:color="auto"/>
            </w:tcBorders>
            <w:shd w:val="clear" w:color="auto" w:fill="auto"/>
          </w:tcPr>
          <w:p w14:paraId="75FDA680" w14:textId="77777777" w:rsidR="002A310E" w:rsidRDefault="000F53BE" w:rsidP="00150FE5">
            <w:r>
              <w:t>Maatregelen rechtmatigheidsrisico’s</w:t>
            </w:r>
          </w:p>
        </w:tc>
        <w:tc>
          <w:tcPr>
            <w:tcW w:w="955" w:type="dxa"/>
            <w:tcBorders>
              <w:top w:val="single" w:sz="12" w:space="0" w:color="auto"/>
              <w:right w:val="single" w:sz="12" w:space="0" w:color="auto"/>
            </w:tcBorders>
            <w:shd w:val="clear" w:color="auto" w:fill="auto"/>
          </w:tcPr>
          <w:p w14:paraId="75FDA681" w14:textId="77777777" w:rsidR="002A310E" w:rsidRDefault="00C25F3D" w:rsidP="00150FE5">
            <w:r>
              <w:t>3</w:t>
            </w:r>
          </w:p>
        </w:tc>
      </w:tr>
      <w:tr w:rsidR="002A310E" w14:paraId="75FDA685" w14:textId="77777777" w:rsidTr="00382AE3">
        <w:tc>
          <w:tcPr>
            <w:tcW w:w="6912" w:type="dxa"/>
            <w:tcBorders>
              <w:left w:val="single" w:sz="12" w:space="0" w:color="auto"/>
            </w:tcBorders>
            <w:shd w:val="clear" w:color="auto" w:fill="auto"/>
          </w:tcPr>
          <w:p w14:paraId="75FDA683" w14:textId="77777777" w:rsidR="002A310E" w:rsidRDefault="000F53BE" w:rsidP="00150FE5">
            <w:r>
              <w:t>Maatregelen doelmatigheidsrisico’s</w:t>
            </w:r>
          </w:p>
        </w:tc>
        <w:tc>
          <w:tcPr>
            <w:tcW w:w="955" w:type="dxa"/>
            <w:tcBorders>
              <w:right w:val="single" w:sz="12" w:space="0" w:color="auto"/>
            </w:tcBorders>
            <w:shd w:val="clear" w:color="auto" w:fill="auto"/>
          </w:tcPr>
          <w:p w14:paraId="75FDA684" w14:textId="77777777" w:rsidR="002A310E" w:rsidRDefault="00C25F3D" w:rsidP="00150FE5">
            <w:r>
              <w:t>3</w:t>
            </w:r>
          </w:p>
        </w:tc>
      </w:tr>
      <w:tr w:rsidR="002A310E" w14:paraId="75FDA688" w14:textId="77777777" w:rsidTr="00382AE3">
        <w:tc>
          <w:tcPr>
            <w:tcW w:w="6912" w:type="dxa"/>
            <w:tcBorders>
              <w:left w:val="single" w:sz="12" w:space="0" w:color="auto"/>
            </w:tcBorders>
            <w:shd w:val="clear" w:color="auto" w:fill="auto"/>
          </w:tcPr>
          <w:p w14:paraId="75FDA686" w14:textId="77777777" w:rsidR="002A310E" w:rsidRDefault="000F53BE" w:rsidP="00150FE5">
            <w:r>
              <w:t xml:space="preserve">Anti-corruptiebeleid </w:t>
            </w:r>
          </w:p>
        </w:tc>
        <w:tc>
          <w:tcPr>
            <w:tcW w:w="955" w:type="dxa"/>
            <w:tcBorders>
              <w:right w:val="single" w:sz="12" w:space="0" w:color="auto"/>
            </w:tcBorders>
            <w:shd w:val="clear" w:color="auto" w:fill="auto"/>
          </w:tcPr>
          <w:p w14:paraId="75FDA687" w14:textId="77777777" w:rsidR="002A310E" w:rsidRDefault="00C25F3D" w:rsidP="00150FE5">
            <w:r>
              <w:t>3</w:t>
            </w:r>
          </w:p>
        </w:tc>
      </w:tr>
      <w:tr w:rsidR="000F53BE" w14:paraId="75FDA68B" w14:textId="77777777" w:rsidTr="00382AE3">
        <w:tc>
          <w:tcPr>
            <w:tcW w:w="6912" w:type="dxa"/>
            <w:tcBorders>
              <w:left w:val="single" w:sz="12" w:space="0" w:color="auto"/>
            </w:tcBorders>
            <w:shd w:val="clear" w:color="auto" w:fill="auto"/>
          </w:tcPr>
          <w:p w14:paraId="75FDA689" w14:textId="77777777" w:rsidR="000F53BE" w:rsidRDefault="000F53BE" w:rsidP="00150FE5">
            <w:r>
              <w:t>Transparantie integriteitsschendingen</w:t>
            </w:r>
          </w:p>
        </w:tc>
        <w:tc>
          <w:tcPr>
            <w:tcW w:w="955" w:type="dxa"/>
            <w:tcBorders>
              <w:right w:val="single" w:sz="12" w:space="0" w:color="auto"/>
            </w:tcBorders>
            <w:shd w:val="clear" w:color="auto" w:fill="auto"/>
          </w:tcPr>
          <w:p w14:paraId="75FDA68A" w14:textId="77777777" w:rsidR="000F53BE" w:rsidRDefault="00C25F3D" w:rsidP="00150FE5">
            <w:r>
              <w:t>3</w:t>
            </w:r>
          </w:p>
        </w:tc>
      </w:tr>
      <w:tr w:rsidR="002A310E" w:rsidRPr="00EA0AA8" w14:paraId="75FDA68E" w14:textId="77777777" w:rsidTr="00B06CE6">
        <w:tc>
          <w:tcPr>
            <w:tcW w:w="6912" w:type="dxa"/>
            <w:tcBorders>
              <w:top w:val="single" w:sz="12" w:space="0" w:color="auto"/>
              <w:left w:val="single" w:sz="12" w:space="0" w:color="auto"/>
              <w:bottom w:val="single" w:sz="12" w:space="0" w:color="auto"/>
            </w:tcBorders>
            <w:shd w:val="clear" w:color="auto" w:fill="D0CECE"/>
          </w:tcPr>
          <w:p w14:paraId="75FDA68C" w14:textId="77777777" w:rsidR="002A310E" w:rsidRPr="00EA0AA8" w:rsidRDefault="002A310E" w:rsidP="00150FE5">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5FDA68D" w14:textId="77777777" w:rsidR="002A310E" w:rsidRPr="00EA0AA8" w:rsidRDefault="00C25F3D" w:rsidP="00150FE5">
            <w:pPr>
              <w:rPr>
                <w:b/>
              </w:rPr>
            </w:pPr>
            <w:r>
              <w:rPr>
                <w:b/>
              </w:rPr>
              <w:t>3</w:t>
            </w:r>
          </w:p>
        </w:tc>
      </w:tr>
    </w:tbl>
    <w:p w14:paraId="75FDA68F" w14:textId="77777777" w:rsidR="0031751C" w:rsidRDefault="0031751C" w:rsidP="00150FE5"/>
    <w:p w14:paraId="75FDA691" w14:textId="77777777" w:rsidR="00D32F98" w:rsidRPr="006A670C" w:rsidRDefault="00D32F98" w:rsidP="00150FE5">
      <w:pPr>
        <w:ind w:firstLine="227"/>
      </w:pPr>
      <w:r w:rsidRPr="00193994">
        <w:t>Ver</w:t>
      </w:r>
      <w:r>
        <w:t>andering sinds 2015: neutraal</w:t>
      </w:r>
      <w:r w:rsidRPr="00193994">
        <w:t xml:space="preserve"> = </w:t>
      </w:r>
      <w:r w:rsidRPr="00193994">
        <w:sym w:font="Wingdings" w:char="F0E8"/>
      </w:r>
    </w:p>
    <w:p w14:paraId="75FDA692" w14:textId="77777777" w:rsidR="00E20A86" w:rsidRDefault="00E20A86" w:rsidP="00150FE5"/>
    <w:p w14:paraId="75FDA694" w14:textId="38572D6E" w:rsidR="009534EF" w:rsidRDefault="00CC1092" w:rsidP="00150FE5">
      <w:pPr>
        <w:pStyle w:val="Heading1"/>
        <w:tabs>
          <w:tab w:val="num" w:pos="0"/>
        </w:tabs>
        <w:spacing w:after="240" w:line="240" w:lineRule="auto"/>
        <w:ind w:hanging="1162"/>
      </w:pPr>
      <w:bookmarkStart w:id="43" w:name="_Toc348364679"/>
      <w:bookmarkStart w:id="44" w:name="_Toc491439394"/>
      <w:r>
        <w:lastRenderedPageBreak/>
        <w:t>5</w:t>
      </w:r>
      <w:r w:rsidR="004D372F">
        <w:t xml:space="preserve"> </w:t>
      </w:r>
      <w:r w:rsidR="004D372F">
        <w:tab/>
      </w:r>
      <w:r w:rsidR="008409AE">
        <w:t>R</w:t>
      </w:r>
      <w:r w:rsidR="009534EF">
        <w:t>elevantie van de organisatie</w:t>
      </w:r>
      <w:bookmarkEnd w:id="43"/>
      <w:bookmarkEnd w:id="44"/>
    </w:p>
    <w:p w14:paraId="17B603B6" w14:textId="680D8518" w:rsidR="00322BB7" w:rsidRDefault="00322BB7" w:rsidP="00150FE5">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6613B41E" w14:textId="77777777" w:rsidR="00322BB7" w:rsidRDefault="00322BB7" w:rsidP="00150FE5"/>
    <w:p w14:paraId="75FDA695" w14:textId="6AE81FAA" w:rsidR="0059624A" w:rsidRDefault="0059624A" w:rsidP="00150FE5">
      <w:r>
        <w:t xml:space="preserve">De activiteiten van ITC sluiten goed aan op de Nederlandse agenda voor Hulp, Handel en Investeringen dat zich richt op MKB-samenwerking in en met ontwikkelingslanden. </w:t>
      </w:r>
    </w:p>
    <w:p w14:paraId="75FDA696" w14:textId="77777777" w:rsidR="0059624A" w:rsidRDefault="0059624A" w:rsidP="00150FE5"/>
    <w:p w14:paraId="75FDA697" w14:textId="2CF6F7B7" w:rsidR="0059624A" w:rsidRPr="00621EBC" w:rsidRDefault="0059624A" w:rsidP="00150FE5">
      <w:r w:rsidRPr="0059624A">
        <w:t>Ontwikkelingslanden, in het bijzonder de kleinere bedrijven uit de minst ontwikkelde lande</w:t>
      </w:r>
      <w:r w:rsidR="00612EBD">
        <w:t>n</w:t>
      </w:r>
      <w:r w:rsidRPr="0059624A">
        <w:t>, hebben gebrek aan mondiale marktkennis, kampen met verplichte en vrijwillige standaarden, beschikken over onvoldoende handel</w:t>
      </w:r>
      <w:r w:rsidR="00CC1092">
        <w:t xml:space="preserve"> </w:t>
      </w:r>
      <w:r w:rsidRPr="0059624A">
        <w:t xml:space="preserve">bevorderende infrastructuur en hebben gebrekkige toegang tot regionale en zuidelijke markten. ITC bevordert economische ontwikkeling en draagt bij aan de </w:t>
      </w:r>
      <w:r w:rsidR="00F6424A">
        <w:t>Duurzame</w:t>
      </w:r>
      <w:r w:rsidR="00CC1092">
        <w:t xml:space="preserve"> Ontwikkelingsdoelen (SDG</w:t>
      </w:r>
      <w:r w:rsidR="00F6424A">
        <w:t>’</w:t>
      </w:r>
      <w:r w:rsidR="00CC1092">
        <w:t xml:space="preserve">s) </w:t>
      </w:r>
      <w:r w:rsidRPr="0059624A">
        <w:t xml:space="preserve">door het stimuleren van handel en internationaal ondernemerschap in ontwikkelingslanden. ITC verbetert de integratie van midden- en kleinbedrijf in lage- en middeninkomenslanden in het multilaterale handelssysteem, ondersteunt </w:t>
      </w:r>
      <w:r w:rsidR="00F6424A" w:rsidRPr="0059624A">
        <w:t>handel bevorderende</w:t>
      </w:r>
      <w:r w:rsidRPr="0059624A">
        <w:t xml:space="preserve"> organisaties (</w:t>
      </w:r>
      <w:r w:rsidRPr="0059624A">
        <w:rPr>
          <w:i/>
        </w:rPr>
        <w:t>trade support institutions)</w:t>
      </w:r>
      <w:r w:rsidRPr="0059624A">
        <w:t xml:space="preserve"> en versterkt de private sector in ontwikkelingslanden om hun handelsbelangen onder de aandacht te brengen bij beleidsmakers.</w:t>
      </w:r>
      <w:r w:rsidR="7E1BADDD" w:rsidRPr="0059624A">
        <w:t xml:space="preserve"> </w:t>
      </w:r>
      <w:r w:rsidR="7E1BADDD" w:rsidRPr="7E1BADDD">
        <w:rPr>
          <w:rFonts w:eastAsia="Verdana" w:cs="Verdana"/>
          <w:szCs w:val="18"/>
        </w:rPr>
        <w:t xml:space="preserve">Dat doen ze met name in Minst Ontwikkelde Landen en vooral gericht op kansarme jongeren en vrouwen, een belangrijke doelgroep voor het Nederlandse beleid. </w:t>
      </w:r>
    </w:p>
    <w:p w14:paraId="75FDA698" w14:textId="77777777" w:rsidR="0059624A" w:rsidRDefault="0059624A" w:rsidP="00150FE5"/>
    <w:p w14:paraId="75FDA69A" w14:textId="4F205EBD" w:rsidR="0027051F" w:rsidRDefault="0008255C" w:rsidP="00150FE5">
      <w:pPr>
        <w:pStyle w:val="Heading2"/>
        <w:numPr>
          <w:ilvl w:val="1"/>
          <w:numId w:val="50"/>
        </w:numPr>
        <w:tabs>
          <w:tab w:val="left" w:pos="-1162"/>
          <w:tab w:val="left" w:pos="0"/>
        </w:tabs>
        <w:spacing w:line="240" w:lineRule="auto"/>
      </w:pPr>
      <w:r>
        <w:tab/>
      </w:r>
      <w:bookmarkStart w:id="45" w:name="_Toc491439395"/>
      <w:r w:rsidR="0027051F">
        <w:t>Relevantie voor Nederlandse BHOS-prioriteiten</w:t>
      </w:r>
      <w:bookmarkEnd w:id="45"/>
    </w:p>
    <w:p w14:paraId="73A23DDF" w14:textId="77777777" w:rsidR="005D1B3A" w:rsidRPr="005D1B3A" w:rsidRDefault="005D1B3A" w:rsidP="00150FE5">
      <w:pPr>
        <w:rPr>
          <w:szCs w:val="18"/>
          <w:u w:val="single"/>
        </w:rPr>
      </w:pPr>
      <w:r w:rsidRPr="005D1B3A">
        <w:rPr>
          <w:szCs w:val="18"/>
          <w:u w:val="single"/>
        </w:rPr>
        <w:t>Gendergelijkheid</w:t>
      </w:r>
    </w:p>
    <w:p w14:paraId="322C8AA0" w14:textId="77777777" w:rsidR="005D1B3A" w:rsidRPr="005D1B3A" w:rsidRDefault="005D1B3A" w:rsidP="00150FE5">
      <w:pPr>
        <w:rPr>
          <w:szCs w:val="18"/>
        </w:rPr>
      </w:pPr>
      <w:r w:rsidRPr="005D1B3A">
        <w:rPr>
          <w:i/>
          <w:szCs w:val="18"/>
        </w:rPr>
        <w:t xml:space="preserve">Relevant. </w:t>
      </w:r>
      <w:r w:rsidRPr="005D1B3A">
        <w:rPr>
          <w:szCs w:val="18"/>
        </w:rPr>
        <w:t xml:space="preserve">Met het </w:t>
      </w:r>
      <w:r w:rsidRPr="005D1B3A">
        <w:rPr>
          <w:i/>
          <w:szCs w:val="18"/>
        </w:rPr>
        <w:t>SheTrades</w:t>
      </w:r>
      <w:r w:rsidRPr="005D1B3A">
        <w:rPr>
          <w:szCs w:val="18"/>
        </w:rPr>
        <w:t xml:space="preserve"> initiatief streeft ITC er naar om 1 miljoen vrouwelijke ondernemers aan mondiale markten te koppelen. ITC heeft diverse programma’s met een duidelijke genderdimensie: </w:t>
      </w:r>
      <w:r w:rsidRPr="005D1B3A">
        <w:rPr>
          <w:rFonts w:cs="Calibri"/>
          <w:i/>
          <w:color w:val="000000"/>
          <w:szCs w:val="18"/>
          <w:lang w:eastAsia="en-GB"/>
        </w:rPr>
        <w:t>Empowering Women to Trade Programme, E-Solutions Programme, Trade and Environment Programme, Poor Communities and Trade Programme</w:t>
      </w:r>
      <w:r w:rsidRPr="005D1B3A">
        <w:rPr>
          <w:i/>
          <w:szCs w:val="18"/>
        </w:rPr>
        <w:t>.</w:t>
      </w:r>
    </w:p>
    <w:p w14:paraId="6774AF9C" w14:textId="77777777" w:rsidR="005D1B3A" w:rsidRDefault="005D1B3A" w:rsidP="00150FE5">
      <w:pPr>
        <w:rPr>
          <w:i/>
          <w:u w:val="single"/>
        </w:rPr>
      </w:pPr>
    </w:p>
    <w:p w14:paraId="67AFFE42" w14:textId="67881A2B" w:rsidR="00CC1092" w:rsidRDefault="0059624A" w:rsidP="00150FE5">
      <w:r w:rsidRPr="00B97409">
        <w:rPr>
          <w:u w:val="single"/>
        </w:rPr>
        <w:t xml:space="preserve">Private </w:t>
      </w:r>
      <w:r w:rsidR="00B97409" w:rsidRPr="00B97409">
        <w:rPr>
          <w:u w:val="single"/>
        </w:rPr>
        <w:t>s</w:t>
      </w:r>
      <w:r w:rsidRPr="00B97409">
        <w:rPr>
          <w:u w:val="single"/>
        </w:rPr>
        <w:t xml:space="preserve">ector </w:t>
      </w:r>
      <w:r w:rsidR="00B97409" w:rsidRPr="00B97409">
        <w:rPr>
          <w:u w:val="single"/>
        </w:rPr>
        <w:t>ontwikkeling</w:t>
      </w:r>
      <w:r w:rsidR="00252283" w:rsidRPr="00912FFF">
        <w:rPr>
          <w:i/>
        </w:rPr>
        <w:t xml:space="preserve"> </w:t>
      </w:r>
      <w:r w:rsidR="00252283" w:rsidRPr="00252283">
        <w:t>(</w:t>
      </w:r>
      <w:r w:rsidR="008C3C62">
        <w:t xml:space="preserve">een </w:t>
      </w:r>
      <w:r w:rsidR="00252283" w:rsidRPr="00252283">
        <w:t xml:space="preserve">kerndoel </w:t>
      </w:r>
      <w:r w:rsidR="008C3C62">
        <w:t xml:space="preserve">van </w:t>
      </w:r>
      <w:r w:rsidR="00252283" w:rsidRPr="00252283">
        <w:t>ITC)</w:t>
      </w:r>
      <w:r w:rsidR="00252283" w:rsidRPr="00912FFF">
        <w:rPr>
          <w:i/>
        </w:rPr>
        <w:t>,</w:t>
      </w:r>
      <w:r>
        <w:t xml:space="preserve"> </w:t>
      </w:r>
    </w:p>
    <w:p w14:paraId="31FC77DE" w14:textId="59C6ED7C" w:rsidR="00CC1092" w:rsidRPr="007473FB" w:rsidRDefault="00CC1092" w:rsidP="00150FE5">
      <w:r>
        <w:rPr>
          <w:i/>
        </w:rPr>
        <w:t xml:space="preserve">Relevant. </w:t>
      </w:r>
      <w:r w:rsidR="007473FB">
        <w:t xml:space="preserve">ITC heeft </w:t>
      </w:r>
      <w:r w:rsidR="00501779">
        <w:t xml:space="preserve">algemeen </w:t>
      </w:r>
      <w:r w:rsidR="007473FB">
        <w:t>erkend toegevoegde waarde op het gebied van technische assistentie aan midden- en kleinbedrijven en hen ondersteunende organisati</w:t>
      </w:r>
      <w:r w:rsidR="00442E2E">
        <w:t>es. Hoewel ITC in beginsel</w:t>
      </w:r>
      <w:r w:rsidR="007473FB">
        <w:t xml:space="preserve"> een uitvoerende organisatie is, speelt ITC ook een co</w:t>
      </w:r>
      <w:r w:rsidR="00442E2E">
        <w:t>ö</w:t>
      </w:r>
      <w:r w:rsidR="007473FB">
        <w:t>rdinerende rol door de samenwerking met par</w:t>
      </w:r>
      <w:r w:rsidR="00442E2E">
        <w:t>t</w:t>
      </w:r>
      <w:r w:rsidR="007473FB">
        <w:t>ners (zie 4.3)</w:t>
      </w:r>
      <w:r w:rsidR="00442E2E">
        <w:t xml:space="preserve">. Zoals vermeld zet ITC in op de armste landen en meest kwetsbare </w:t>
      </w:r>
      <w:r w:rsidR="00F6424A">
        <w:t>economieën</w:t>
      </w:r>
      <w:r w:rsidR="00442E2E">
        <w:t>, op het midden- en kleinbedrijf, op vrouwen. Daarmee is ITC tevens normstellend</w:t>
      </w:r>
      <w:r w:rsidR="00501779">
        <w:t xml:space="preserve"> op het gebied van </w:t>
      </w:r>
      <w:r w:rsidR="00501779" w:rsidRPr="00501779">
        <w:rPr>
          <w:i/>
        </w:rPr>
        <w:t>Aid for Trade</w:t>
      </w:r>
      <w:r w:rsidR="00501779">
        <w:t>, op een wijze die geheel in lijn is met het Nederlandse beleid.</w:t>
      </w:r>
    </w:p>
    <w:p w14:paraId="4BE1967E" w14:textId="77777777" w:rsidR="00CC1092" w:rsidRPr="00CC1092" w:rsidRDefault="00CC1092" w:rsidP="00150FE5">
      <w:pPr>
        <w:rPr>
          <w:i/>
        </w:rPr>
      </w:pPr>
    </w:p>
    <w:p w14:paraId="16E02932" w14:textId="77777777" w:rsidR="00CC1092" w:rsidRPr="005D1B3A" w:rsidRDefault="00252283" w:rsidP="00150FE5">
      <w:pPr>
        <w:rPr>
          <w:szCs w:val="18"/>
          <w:u w:val="single"/>
        </w:rPr>
      </w:pPr>
      <w:r w:rsidRPr="005D1B3A">
        <w:rPr>
          <w:szCs w:val="18"/>
          <w:u w:val="single"/>
        </w:rPr>
        <w:t xml:space="preserve">Voedselzekerheid </w:t>
      </w:r>
    </w:p>
    <w:p w14:paraId="55C2DD39" w14:textId="1452669F" w:rsidR="008C3C62" w:rsidRPr="00CC1092" w:rsidRDefault="00CC1092" w:rsidP="00150FE5">
      <w:pPr>
        <w:rPr>
          <w:szCs w:val="18"/>
          <w:lang w:val="en-US"/>
        </w:rPr>
      </w:pPr>
      <w:r w:rsidRPr="005D1B3A">
        <w:rPr>
          <w:i/>
          <w:szCs w:val="18"/>
        </w:rPr>
        <w:t>Beperkt relevant.</w:t>
      </w:r>
      <w:r w:rsidR="00501779" w:rsidRPr="005D1B3A">
        <w:rPr>
          <w:i/>
          <w:szCs w:val="18"/>
        </w:rPr>
        <w:t xml:space="preserve"> </w:t>
      </w:r>
      <w:r w:rsidR="00501779" w:rsidRPr="00501779">
        <w:rPr>
          <w:szCs w:val="18"/>
        </w:rPr>
        <w:t xml:space="preserve">Door verhoging van inkomens worden armen weerbaarder. De toegang tot voedsel verbetert ook door vergroting van (regionale) markten. </w:t>
      </w:r>
      <w:r w:rsidR="00501779" w:rsidRPr="00501779">
        <w:rPr>
          <w:szCs w:val="18"/>
          <w:lang w:val="en-US"/>
        </w:rPr>
        <w:t xml:space="preserve">Relevante </w:t>
      </w:r>
      <w:r w:rsidR="00F6424A">
        <w:rPr>
          <w:szCs w:val="18"/>
          <w:lang w:val="en-US"/>
        </w:rPr>
        <w:t>programma’s</w:t>
      </w:r>
      <w:r w:rsidR="00501779" w:rsidRPr="00501779">
        <w:rPr>
          <w:szCs w:val="18"/>
          <w:lang w:val="en-US"/>
        </w:rPr>
        <w:t xml:space="preserve"> zijn het</w:t>
      </w:r>
      <w:r w:rsidR="00501779">
        <w:rPr>
          <w:i/>
          <w:szCs w:val="18"/>
          <w:lang w:val="en-US"/>
        </w:rPr>
        <w:t xml:space="preserve"> </w:t>
      </w:r>
      <w:r w:rsidR="00252283" w:rsidRPr="00912FFF">
        <w:rPr>
          <w:rFonts w:cs="Calibri"/>
          <w:i/>
          <w:color w:val="000000"/>
          <w:szCs w:val="18"/>
          <w:lang w:val="en-US" w:eastAsia="en-GB"/>
        </w:rPr>
        <w:t>NTM Programme</w:t>
      </w:r>
      <w:r w:rsidR="00F33ECA" w:rsidRPr="00912FFF">
        <w:rPr>
          <w:rFonts w:cs="Calibri"/>
          <w:i/>
          <w:color w:val="000000"/>
          <w:szCs w:val="18"/>
          <w:lang w:val="en-US" w:eastAsia="en-GB"/>
        </w:rPr>
        <w:t>,</w:t>
      </w:r>
      <w:r w:rsidR="00252283" w:rsidRPr="00912FFF">
        <w:rPr>
          <w:rFonts w:cs="Calibri"/>
          <w:i/>
          <w:color w:val="000000"/>
          <w:szCs w:val="18"/>
          <w:lang w:val="en-US" w:eastAsia="en-GB"/>
        </w:rPr>
        <w:t xml:space="preserve"> Transparency in Trade Programme</w:t>
      </w:r>
      <w:r w:rsidR="00F33ECA" w:rsidRPr="00912FFF">
        <w:rPr>
          <w:rFonts w:cs="Calibri"/>
          <w:i/>
          <w:color w:val="000000"/>
          <w:szCs w:val="18"/>
          <w:lang w:val="en-US" w:eastAsia="en-GB"/>
        </w:rPr>
        <w:t>,</w:t>
      </w:r>
      <w:r w:rsidR="00252283" w:rsidRPr="00912FFF">
        <w:rPr>
          <w:rFonts w:cs="Calibri"/>
          <w:i/>
          <w:color w:val="000000"/>
          <w:szCs w:val="18"/>
          <w:lang w:val="en-US" w:eastAsia="en-GB"/>
        </w:rPr>
        <w:t xml:space="preserve"> Trade for Sustainable Development / Trade and Environment </w:t>
      </w:r>
      <w:r w:rsidR="00252283" w:rsidRPr="00912FFF">
        <w:rPr>
          <w:rFonts w:cs="Calibri"/>
          <w:i/>
          <w:color w:val="000000"/>
          <w:szCs w:val="18"/>
          <w:lang w:val="en-US" w:eastAsia="en-GB"/>
        </w:rPr>
        <w:lastRenderedPageBreak/>
        <w:t>Programme, Value Added to Trade Programme, Poor Communities and Trade Programme</w:t>
      </w:r>
      <w:r w:rsidR="00501779">
        <w:rPr>
          <w:rFonts w:cs="Calibri"/>
          <w:color w:val="000000"/>
          <w:szCs w:val="18"/>
          <w:lang w:val="en-US" w:eastAsia="en-GB"/>
        </w:rPr>
        <w:t>).</w:t>
      </w:r>
    </w:p>
    <w:p w14:paraId="44A82271" w14:textId="77777777" w:rsidR="00CC1092" w:rsidRDefault="00CC1092" w:rsidP="00150FE5">
      <w:pPr>
        <w:rPr>
          <w:lang w:val="en-US"/>
        </w:rPr>
      </w:pPr>
    </w:p>
    <w:p w14:paraId="74D05980" w14:textId="77777777" w:rsidR="00CC1092" w:rsidRPr="005B101D" w:rsidRDefault="00252283" w:rsidP="00150FE5">
      <w:pPr>
        <w:rPr>
          <w:szCs w:val="18"/>
          <w:u w:val="single"/>
        </w:rPr>
      </w:pPr>
      <w:r w:rsidRPr="005B101D">
        <w:rPr>
          <w:szCs w:val="18"/>
          <w:u w:val="single"/>
        </w:rPr>
        <w:t xml:space="preserve">Klimaat </w:t>
      </w:r>
    </w:p>
    <w:p w14:paraId="75FDA69B" w14:textId="60E46255" w:rsidR="0059624A" w:rsidRPr="005B101D" w:rsidRDefault="00CC1092" w:rsidP="00150FE5">
      <w:pPr>
        <w:rPr>
          <w:szCs w:val="18"/>
        </w:rPr>
      </w:pPr>
      <w:r w:rsidRPr="005B101D">
        <w:rPr>
          <w:i/>
          <w:szCs w:val="18"/>
        </w:rPr>
        <w:t xml:space="preserve">Beperkt relevant. </w:t>
      </w:r>
      <w:r w:rsidR="005B101D" w:rsidRPr="005B101D">
        <w:rPr>
          <w:szCs w:val="18"/>
        </w:rPr>
        <w:t xml:space="preserve">Een klimaat-dimensie komt </w:t>
      </w:r>
      <w:r w:rsidR="005B101D">
        <w:rPr>
          <w:szCs w:val="18"/>
        </w:rPr>
        <w:t>n</w:t>
      </w:r>
      <w:r w:rsidR="005B101D" w:rsidRPr="005B101D">
        <w:rPr>
          <w:szCs w:val="18"/>
        </w:rPr>
        <w:t>aar voren in enkele programma’s als</w:t>
      </w:r>
      <w:r w:rsidR="005B101D">
        <w:rPr>
          <w:i/>
          <w:szCs w:val="18"/>
        </w:rPr>
        <w:t xml:space="preserve"> </w:t>
      </w:r>
      <w:r w:rsidR="00252283" w:rsidRPr="005B101D">
        <w:rPr>
          <w:rFonts w:cs="Calibri"/>
          <w:i/>
          <w:color w:val="000000"/>
          <w:szCs w:val="18"/>
          <w:lang w:eastAsia="en-GB"/>
        </w:rPr>
        <w:t>Transparency in Trade Programme, Trade and Environment Programme, Value Added to Trade Programme</w:t>
      </w:r>
      <w:r w:rsidR="00252283" w:rsidRPr="005B101D">
        <w:rPr>
          <w:szCs w:val="18"/>
        </w:rPr>
        <w:t>.</w:t>
      </w:r>
    </w:p>
    <w:p w14:paraId="75FDA69C" w14:textId="77777777" w:rsidR="0059624A" w:rsidRPr="005B101D" w:rsidRDefault="0059624A" w:rsidP="00150F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884"/>
        <w:gridCol w:w="1916"/>
        <w:gridCol w:w="1942"/>
      </w:tblGrid>
      <w:tr w:rsidR="00912FFF" w14:paraId="75FDA6A2" w14:textId="77777777" w:rsidTr="00236D79">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5FDA6A1" w14:textId="6D33033B" w:rsidR="00912FFF" w:rsidRPr="00792AB2" w:rsidRDefault="00912FFF" w:rsidP="00150FE5">
            <w:pPr>
              <w:rPr>
                <w:b/>
              </w:rPr>
            </w:pPr>
            <w:r>
              <w:rPr>
                <w:b/>
              </w:rPr>
              <w:t>Relevantie voor de Nederlandse BHOS-prioriteiten</w:t>
            </w:r>
          </w:p>
        </w:tc>
      </w:tr>
      <w:tr w:rsidR="008B720C" w14:paraId="75FDA6A7" w14:textId="77777777" w:rsidTr="00236D79">
        <w:tc>
          <w:tcPr>
            <w:tcW w:w="1955" w:type="dxa"/>
            <w:tcBorders>
              <w:top w:val="single" w:sz="12" w:space="0" w:color="auto"/>
              <w:left w:val="single" w:sz="12" w:space="0" w:color="auto"/>
              <w:bottom w:val="single" w:sz="12" w:space="0" w:color="auto"/>
            </w:tcBorders>
            <w:shd w:val="clear" w:color="auto" w:fill="BFBFBF" w:themeFill="background1" w:themeFillShade="BF"/>
          </w:tcPr>
          <w:p w14:paraId="75FDA6A3" w14:textId="77777777" w:rsidR="008B720C" w:rsidRPr="00792AB2" w:rsidRDefault="008B720C" w:rsidP="00150FE5">
            <w:pPr>
              <w:rPr>
                <w:b/>
                <w:i/>
              </w:rPr>
            </w:pPr>
          </w:p>
        </w:tc>
        <w:tc>
          <w:tcPr>
            <w:tcW w:w="1884" w:type="dxa"/>
            <w:tcBorders>
              <w:top w:val="single" w:sz="12" w:space="0" w:color="auto"/>
              <w:bottom w:val="single" w:sz="12" w:space="0" w:color="auto"/>
            </w:tcBorders>
            <w:shd w:val="clear" w:color="auto" w:fill="BFBFBF" w:themeFill="background1" w:themeFillShade="BF"/>
          </w:tcPr>
          <w:p w14:paraId="75FDA6A4" w14:textId="77777777" w:rsidR="00674C14" w:rsidRPr="00792AB2" w:rsidRDefault="008B720C" w:rsidP="00150FE5">
            <w:pPr>
              <w:rPr>
                <w:b/>
              </w:rPr>
            </w:pPr>
            <w:r w:rsidRPr="00792AB2">
              <w:rPr>
                <w:b/>
              </w:rPr>
              <w:t>Uitvoerend</w:t>
            </w:r>
          </w:p>
        </w:tc>
        <w:tc>
          <w:tcPr>
            <w:tcW w:w="1916" w:type="dxa"/>
            <w:tcBorders>
              <w:top w:val="single" w:sz="12" w:space="0" w:color="auto"/>
              <w:bottom w:val="single" w:sz="12" w:space="0" w:color="auto"/>
            </w:tcBorders>
            <w:shd w:val="clear" w:color="auto" w:fill="BFBFBF" w:themeFill="background1" w:themeFillShade="BF"/>
          </w:tcPr>
          <w:p w14:paraId="75FDA6A5" w14:textId="77777777" w:rsidR="008B720C" w:rsidRPr="00792AB2" w:rsidRDefault="008B720C" w:rsidP="00150FE5">
            <w:pPr>
              <w:rPr>
                <w:b/>
              </w:rPr>
            </w:pPr>
            <w:r w:rsidRPr="00792AB2">
              <w:rPr>
                <w:b/>
              </w:rPr>
              <w:t>Coördinerend</w:t>
            </w:r>
          </w:p>
        </w:tc>
        <w:tc>
          <w:tcPr>
            <w:tcW w:w="1942" w:type="dxa"/>
            <w:tcBorders>
              <w:top w:val="single" w:sz="12" w:space="0" w:color="auto"/>
              <w:bottom w:val="single" w:sz="12" w:space="0" w:color="auto"/>
              <w:right w:val="single" w:sz="12" w:space="0" w:color="auto"/>
            </w:tcBorders>
            <w:shd w:val="clear" w:color="auto" w:fill="BFBFBF" w:themeFill="background1" w:themeFillShade="BF"/>
          </w:tcPr>
          <w:p w14:paraId="75FDA6A6" w14:textId="77777777" w:rsidR="008B720C" w:rsidRPr="00792AB2" w:rsidRDefault="008B720C" w:rsidP="00150FE5">
            <w:pPr>
              <w:rPr>
                <w:b/>
              </w:rPr>
            </w:pPr>
            <w:r w:rsidRPr="00792AB2">
              <w:rPr>
                <w:b/>
              </w:rPr>
              <w:t>Normatief</w:t>
            </w:r>
          </w:p>
        </w:tc>
      </w:tr>
      <w:tr w:rsidR="008B720C" w14:paraId="75FDA6C0" w14:textId="77777777" w:rsidTr="00236D79">
        <w:tc>
          <w:tcPr>
            <w:tcW w:w="1955" w:type="dxa"/>
            <w:tcBorders>
              <w:top w:val="single" w:sz="12" w:space="0" w:color="auto"/>
              <w:left w:val="single" w:sz="12" w:space="0" w:color="auto"/>
            </w:tcBorders>
            <w:shd w:val="clear" w:color="auto" w:fill="auto"/>
          </w:tcPr>
          <w:p w14:paraId="75FDA6BC" w14:textId="05CA41DC" w:rsidR="005D1B3A" w:rsidRDefault="008B720C" w:rsidP="00150FE5">
            <w:r>
              <w:t>Gendergelijkheid</w:t>
            </w:r>
          </w:p>
        </w:tc>
        <w:tc>
          <w:tcPr>
            <w:tcW w:w="1884" w:type="dxa"/>
            <w:tcBorders>
              <w:top w:val="single" w:sz="12" w:space="0" w:color="auto"/>
            </w:tcBorders>
            <w:shd w:val="clear" w:color="auto" w:fill="auto"/>
          </w:tcPr>
          <w:p w14:paraId="75FDA6BD" w14:textId="77777777" w:rsidR="008B720C" w:rsidRDefault="00B92B44" w:rsidP="00150FE5">
            <w:r>
              <w:t>4</w:t>
            </w:r>
          </w:p>
        </w:tc>
        <w:tc>
          <w:tcPr>
            <w:tcW w:w="1916" w:type="dxa"/>
            <w:tcBorders>
              <w:top w:val="single" w:sz="12" w:space="0" w:color="auto"/>
            </w:tcBorders>
            <w:shd w:val="clear" w:color="auto" w:fill="auto"/>
          </w:tcPr>
          <w:p w14:paraId="75FDA6BE" w14:textId="2E0FE395" w:rsidR="008B720C" w:rsidRDefault="008B720C" w:rsidP="00150FE5"/>
        </w:tc>
        <w:tc>
          <w:tcPr>
            <w:tcW w:w="1942" w:type="dxa"/>
            <w:tcBorders>
              <w:top w:val="single" w:sz="12" w:space="0" w:color="auto"/>
              <w:right w:val="single" w:sz="12" w:space="0" w:color="auto"/>
            </w:tcBorders>
            <w:shd w:val="clear" w:color="auto" w:fill="auto"/>
          </w:tcPr>
          <w:p w14:paraId="75FDA6BF" w14:textId="0C40EBF8" w:rsidR="008B720C" w:rsidRDefault="008B720C" w:rsidP="00150FE5"/>
        </w:tc>
      </w:tr>
      <w:tr w:rsidR="008B720C" w14:paraId="75FDA6CA" w14:textId="77777777" w:rsidTr="00236D79">
        <w:tc>
          <w:tcPr>
            <w:tcW w:w="1955" w:type="dxa"/>
            <w:tcBorders>
              <w:left w:val="single" w:sz="12" w:space="0" w:color="auto"/>
              <w:bottom w:val="single" w:sz="12" w:space="0" w:color="auto"/>
            </w:tcBorders>
            <w:shd w:val="clear" w:color="auto" w:fill="auto"/>
          </w:tcPr>
          <w:p w14:paraId="75FDA6C6" w14:textId="1C7C5BCF" w:rsidR="008B720C" w:rsidRDefault="008B720C" w:rsidP="00150FE5">
            <w:r>
              <w:t xml:space="preserve">Private sector </w:t>
            </w:r>
            <w:r w:rsidR="00B97409">
              <w:t>ontwikkeling</w:t>
            </w:r>
          </w:p>
        </w:tc>
        <w:tc>
          <w:tcPr>
            <w:tcW w:w="1884" w:type="dxa"/>
            <w:tcBorders>
              <w:bottom w:val="single" w:sz="12" w:space="0" w:color="auto"/>
            </w:tcBorders>
            <w:shd w:val="clear" w:color="auto" w:fill="auto"/>
          </w:tcPr>
          <w:p w14:paraId="75FDA6C7" w14:textId="77777777" w:rsidR="008B720C" w:rsidRDefault="00B92B44" w:rsidP="00150FE5">
            <w:r>
              <w:t>4</w:t>
            </w:r>
          </w:p>
        </w:tc>
        <w:tc>
          <w:tcPr>
            <w:tcW w:w="1916" w:type="dxa"/>
            <w:tcBorders>
              <w:bottom w:val="single" w:sz="12" w:space="0" w:color="auto"/>
            </w:tcBorders>
            <w:shd w:val="clear" w:color="auto" w:fill="auto"/>
          </w:tcPr>
          <w:p w14:paraId="75FDA6C8" w14:textId="77777777" w:rsidR="008B720C" w:rsidRDefault="00B92B44" w:rsidP="00150FE5">
            <w:r>
              <w:t>3</w:t>
            </w:r>
          </w:p>
        </w:tc>
        <w:tc>
          <w:tcPr>
            <w:tcW w:w="1942" w:type="dxa"/>
            <w:tcBorders>
              <w:bottom w:val="single" w:sz="12" w:space="0" w:color="auto"/>
              <w:right w:val="single" w:sz="12" w:space="0" w:color="auto"/>
            </w:tcBorders>
            <w:shd w:val="clear" w:color="auto" w:fill="auto"/>
          </w:tcPr>
          <w:p w14:paraId="75FDA6C9" w14:textId="77777777" w:rsidR="008B720C" w:rsidRDefault="00B92B44" w:rsidP="00150FE5">
            <w:r>
              <w:t>4</w:t>
            </w:r>
          </w:p>
        </w:tc>
      </w:tr>
    </w:tbl>
    <w:p w14:paraId="3A802120" w14:textId="4B3F234D" w:rsidR="005D1B3A" w:rsidRDefault="005D1B3A" w:rsidP="00150FE5">
      <w:pPr>
        <w:rPr>
          <w:lang w:val="en-US"/>
        </w:rPr>
      </w:pPr>
    </w:p>
    <w:p w14:paraId="3051BFFD" w14:textId="54CA181D" w:rsidR="0055425E" w:rsidRDefault="0055425E" w:rsidP="00F6424A">
      <w:pPr>
        <w:spacing w:line="240" w:lineRule="auto"/>
        <w:rPr>
          <w:lang w:val="en-US"/>
        </w:rPr>
      </w:pPr>
    </w:p>
    <w:sectPr w:rsidR="0055425E" w:rsidSect="00EE1B9E">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DA779" w14:textId="77777777" w:rsidR="00150FE5" w:rsidRDefault="00150FE5">
      <w:r>
        <w:separator/>
      </w:r>
    </w:p>
    <w:p w14:paraId="75FDA77A" w14:textId="77777777" w:rsidR="00150FE5" w:rsidRDefault="00150FE5"/>
    <w:p w14:paraId="75FDA77B" w14:textId="77777777" w:rsidR="00150FE5" w:rsidRDefault="00150FE5"/>
  </w:endnote>
  <w:endnote w:type="continuationSeparator" w:id="0">
    <w:p w14:paraId="75FDA77C" w14:textId="77777777" w:rsidR="00150FE5" w:rsidRDefault="00150FE5">
      <w:r>
        <w:continuationSeparator/>
      </w:r>
    </w:p>
    <w:p w14:paraId="75FDA77D" w14:textId="77777777" w:rsidR="00150FE5" w:rsidRDefault="00150FE5"/>
    <w:p w14:paraId="75FDA77E" w14:textId="77777777" w:rsidR="00150FE5" w:rsidRDefault="00150F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0580858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17F73F7A" w14:textId="2156E22C" w:rsidR="00B432AA" w:rsidRPr="00B432AA" w:rsidRDefault="00B432AA">
            <w:pPr>
              <w:pStyle w:val="Footer"/>
              <w:jc w:val="right"/>
              <w:rPr>
                <w:sz w:val="16"/>
                <w:szCs w:val="16"/>
              </w:rPr>
            </w:pPr>
            <w:r w:rsidRPr="00B432AA">
              <w:rPr>
                <w:sz w:val="16"/>
                <w:szCs w:val="16"/>
              </w:rPr>
              <w:t xml:space="preserve">Pagina </w:t>
            </w:r>
            <w:r w:rsidRPr="00B432AA">
              <w:rPr>
                <w:bCs/>
                <w:sz w:val="16"/>
                <w:szCs w:val="16"/>
              </w:rPr>
              <w:fldChar w:fldCharType="begin"/>
            </w:r>
            <w:r w:rsidRPr="00B432AA">
              <w:rPr>
                <w:bCs/>
                <w:sz w:val="16"/>
                <w:szCs w:val="16"/>
              </w:rPr>
              <w:instrText>PAGE</w:instrText>
            </w:r>
            <w:r w:rsidRPr="00B432AA">
              <w:rPr>
                <w:bCs/>
                <w:sz w:val="16"/>
                <w:szCs w:val="16"/>
              </w:rPr>
              <w:fldChar w:fldCharType="separate"/>
            </w:r>
            <w:r w:rsidR="00E268B1">
              <w:rPr>
                <w:bCs/>
                <w:noProof/>
                <w:sz w:val="16"/>
                <w:szCs w:val="16"/>
              </w:rPr>
              <w:t>2</w:t>
            </w:r>
            <w:r w:rsidRPr="00B432AA">
              <w:rPr>
                <w:bCs/>
                <w:sz w:val="16"/>
                <w:szCs w:val="16"/>
              </w:rPr>
              <w:fldChar w:fldCharType="end"/>
            </w:r>
            <w:r w:rsidRPr="00B432AA">
              <w:rPr>
                <w:sz w:val="16"/>
                <w:szCs w:val="16"/>
              </w:rPr>
              <w:t xml:space="preserve"> van </w:t>
            </w:r>
            <w:r w:rsidRPr="00B432AA">
              <w:rPr>
                <w:bCs/>
                <w:sz w:val="16"/>
                <w:szCs w:val="16"/>
              </w:rPr>
              <w:fldChar w:fldCharType="begin"/>
            </w:r>
            <w:r w:rsidRPr="00B432AA">
              <w:rPr>
                <w:bCs/>
                <w:sz w:val="16"/>
                <w:szCs w:val="16"/>
              </w:rPr>
              <w:instrText>NUMPAGES</w:instrText>
            </w:r>
            <w:r w:rsidRPr="00B432AA">
              <w:rPr>
                <w:bCs/>
                <w:sz w:val="16"/>
                <w:szCs w:val="16"/>
              </w:rPr>
              <w:fldChar w:fldCharType="separate"/>
            </w:r>
            <w:r w:rsidR="00E268B1">
              <w:rPr>
                <w:bCs/>
                <w:noProof/>
                <w:sz w:val="16"/>
                <w:szCs w:val="16"/>
              </w:rPr>
              <w:t>17</w:t>
            </w:r>
            <w:r w:rsidRPr="00B432AA">
              <w:rPr>
                <w:bCs/>
                <w:sz w:val="16"/>
                <w:szCs w:val="16"/>
              </w:rPr>
              <w:fldChar w:fldCharType="end"/>
            </w:r>
          </w:p>
        </w:sdtContent>
      </w:sdt>
    </w:sdtContent>
  </w:sdt>
  <w:p w14:paraId="14D32B49" w14:textId="77777777" w:rsidR="00B432AA" w:rsidRDefault="00B43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DA775" w14:textId="77777777" w:rsidR="00150FE5" w:rsidRPr="00B35331" w:rsidRDefault="00150FE5" w:rsidP="00B35331">
      <w:pPr>
        <w:pStyle w:val="Footer"/>
      </w:pPr>
    </w:p>
  </w:footnote>
  <w:footnote w:type="continuationSeparator" w:id="0">
    <w:p w14:paraId="75FDA776" w14:textId="77777777" w:rsidR="00150FE5" w:rsidRDefault="00150FE5">
      <w:r>
        <w:continuationSeparator/>
      </w:r>
    </w:p>
    <w:p w14:paraId="75FDA777" w14:textId="77777777" w:rsidR="00150FE5" w:rsidRDefault="00150FE5"/>
    <w:p w14:paraId="75FDA778" w14:textId="77777777" w:rsidR="00150FE5" w:rsidRDefault="00150FE5"/>
  </w:footnote>
  <w:footnote w:id="1">
    <w:p w14:paraId="75FDA783" w14:textId="60201376" w:rsidR="00150FE5" w:rsidRDefault="00150FE5" w:rsidP="005150FC">
      <w:pPr>
        <w:pStyle w:val="FootnoteText"/>
      </w:pPr>
      <w:r>
        <w:rPr>
          <w:rStyle w:val="FootnoteReference"/>
        </w:rPr>
        <w:footnoteRef/>
      </w:r>
      <w:r>
        <w:t xml:space="preserve"> </w:t>
      </w:r>
      <w:r>
        <w:tab/>
        <w:t>Binnen MOPAN evalueert Nederland samen met 18 gelijkgezinde landen het fun</w:t>
      </w:r>
      <w:r w:rsidR="00F6424A">
        <w:t>ctioneren van VN-</w:t>
      </w:r>
      <w:r>
        <w:t xml:space="preserve">organisaties en Internationale Financiële Instellingen. Vanaf 2015 worden, per keer, in een tweejaarlijkse cyclus, ongeveer 13 organisaties doorgelicht op organisatorisch functioneren en ontwikkelingseffectiviteit. </w:t>
      </w:r>
    </w:p>
  </w:footnote>
  <w:footnote w:id="2">
    <w:p w14:paraId="75FDA796" w14:textId="561FD13A" w:rsidR="00150FE5" w:rsidRPr="00A313DE" w:rsidRDefault="00150FE5" w:rsidP="00912FFF">
      <w:pPr>
        <w:pStyle w:val="NoSpacing"/>
        <w:rPr>
          <w:szCs w:val="20"/>
        </w:rPr>
      </w:pPr>
      <w:r>
        <w:rPr>
          <w:rStyle w:val="FootnoteReference"/>
        </w:rPr>
        <w:footnoteRef/>
      </w:r>
      <w:r>
        <w:t xml:space="preserve"> </w:t>
      </w:r>
      <w:r w:rsidRPr="00912FFF">
        <w:rPr>
          <w:sz w:val="13"/>
          <w:szCs w:val="13"/>
        </w:rPr>
        <w:t xml:space="preserve">De </w:t>
      </w:r>
      <w:r w:rsidRPr="00F6424A">
        <w:rPr>
          <w:i/>
          <w:sz w:val="13"/>
          <w:szCs w:val="13"/>
        </w:rPr>
        <w:t>Economic and Social Council</w:t>
      </w:r>
      <w:r w:rsidRPr="00912FFF">
        <w:rPr>
          <w:sz w:val="13"/>
          <w:szCs w:val="13"/>
        </w:rPr>
        <w:t xml:space="preserve">-resolutie 1819 (LV) verleent ITC de verantwoordelijkheid voor uitvoering van </w:t>
      </w:r>
      <w:r w:rsidR="00F6424A" w:rsidRPr="00912FFF">
        <w:rPr>
          <w:sz w:val="13"/>
          <w:szCs w:val="13"/>
        </w:rPr>
        <w:t>sub programma</w:t>
      </w:r>
      <w:r w:rsidRPr="00912FFF">
        <w:rPr>
          <w:sz w:val="13"/>
          <w:szCs w:val="13"/>
        </w:rPr>
        <w:t xml:space="preserve"> 6, Operationele aspecten van handelsbevor</w:t>
      </w:r>
      <w:r>
        <w:rPr>
          <w:sz w:val="13"/>
          <w:szCs w:val="13"/>
        </w:rPr>
        <w:t>d</w:t>
      </w:r>
      <w:r w:rsidRPr="00912FFF">
        <w:rPr>
          <w:sz w:val="13"/>
          <w:szCs w:val="13"/>
        </w:rPr>
        <w:t xml:space="preserve">ering en </w:t>
      </w:r>
      <w:r w:rsidR="00F6424A" w:rsidRPr="00912FFF">
        <w:rPr>
          <w:sz w:val="13"/>
          <w:szCs w:val="13"/>
        </w:rPr>
        <w:t>exportontwikkeling</w:t>
      </w:r>
      <w:r w:rsidRPr="00912FFF">
        <w:rPr>
          <w:sz w:val="13"/>
          <w:szCs w:val="13"/>
        </w:rPr>
        <w:t>, van programma 10, Handel en ontwikkeling.</w:t>
      </w:r>
      <w:r w:rsidRPr="00912FFF">
        <w:rPr>
          <w:sz w:val="14"/>
          <w:szCs w:val="14"/>
        </w:rPr>
        <w:t xml:space="preserve"> </w:t>
      </w:r>
    </w:p>
  </w:footnote>
  <w:footnote w:id="3">
    <w:p w14:paraId="6EA515A4" w14:textId="2F795ACF" w:rsidR="00150FE5" w:rsidRPr="00AE299D" w:rsidRDefault="00150FE5">
      <w:pPr>
        <w:pStyle w:val="FootnoteText"/>
      </w:pPr>
      <w:r>
        <w:rPr>
          <w:rStyle w:val="FootnoteReference"/>
        </w:rPr>
        <w:footnoteRef/>
      </w:r>
      <w:r>
        <w:t xml:space="preserve"> </w:t>
      </w:r>
      <w:r w:rsidR="00F6424A" w:rsidRPr="0075261B">
        <w:rPr>
          <w:szCs w:val="18"/>
        </w:rPr>
        <w:t>Zie</w:t>
      </w:r>
      <w:r w:rsidRPr="0075261B">
        <w:rPr>
          <w:szCs w:val="18"/>
        </w:rPr>
        <w:t xml:space="preserve"> document</w:t>
      </w:r>
      <w:r>
        <w:rPr>
          <w:szCs w:val="18"/>
        </w:rPr>
        <w:t xml:space="preserve"> </w:t>
      </w:r>
      <w:r w:rsidRPr="0075261B">
        <w:rPr>
          <w:szCs w:val="18"/>
        </w:rPr>
        <w:t>E/AC.51/2015/8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4E628" w14:textId="50C15DFC" w:rsidR="00150FE5" w:rsidRDefault="00150FE5">
    <w:pPr>
      <w:pStyle w:val="Header"/>
    </w:pPr>
    <w:r>
      <w:rPr>
        <w:rStyle w:val="Huisstijl-Koptekst"/>
      </w:rPr>
      <w:fldChar w:fldCharType="begin"/>
    </w:r>
    <w:r w:rsidRPr="00ED3D6E">
      <w:rPr>
        <w:rStyle w:val="Huisstijl-Koptekst"/>
        <w:lang w:val="en-GB"/>
      </w:rPr>
      <w:instrText xml:space="preserve"> Titel </w:instrText>
    </w:r>
    <w:r>
      <w:rPr>
        <w:rStyle w:val="Huisstijl-Koptekst"/>
      </w:rPr>
      <w:fldChar w:fldCharType="separate"/>
    </w:r>
    <w:r w:rsidRPr="00B255E4">
      <w:rPr>
        <w:lang w:val="en-US"/>
      </w:rPr>
      <w:t>Scorecard</w:t>
    </w:r>
    <w:r>
      <w:rPr>
        <w:rStyle w:val="Huisstijl-Koptekst"/>
      </w:rPr>
      <w:fldChar w:fldCharType="end"/>
    </w:r>
    <w:r w:rsidRPr="008517DE">
      <w:rPr>
        <w:rStyle w:val="Huisstijl-Koptekst"/>
        <w:lang w:val="en-GB"/>
      </w:rPr>
      <w:t xml:space="preserve"> | </w:t>
    </w:r>
    <w:r w:rsidRPr="00ED3D6E">
      <w:rPr>
        <w:rStyle w:val="Huisstijl-Koptekst"/>
        <w:lang w:val="en-GB"/>
      </w:rPr>
      <w:t>Inter</w:t>
    </w:r>
    <w:r>
      <w:rPr>
        <w:rStyle w:val="Huisstijl-Koptekst"/>
        <w:lang w:val="en-GB"/>
      </w:rPr>
      <w:t>national Trade Centre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DA77F" w14:textId="77777777" w:rsidR="00150FE5" w:rsidRPr="00785F18" w:rsidRDefault="00150FE5" w:rsidP="00E51959">
    <w:pPr>
      <w:pStyle w:val="Header"/>
      <w:rPr>
        <w:rStyle w:val="Huisstijl-Koptekst"/>
        <w:sz w:val="18"/>
      </w:rPr>
    </w:pPr>
  </w:p>
  <w:p w14:paraId="75B91735" w14:textId="22A5A6C3" w:rsidR="00150FE5" w:rsidRPr="00785F18" w:rsidRDefault="00150FE5" w:rsidP="00AE299D">
    <w:r>
      <w:rPr>
        <w:noProof/>
      </w:rPr>
      <mc:AlternateContent>
        <mc:Choice Requires="wps">
          <w:drawing>
            <wp:anchor distT="0" distB="0" distL="114300" distR="114300" simplePos="0" relativeHeight="251659264" behindDoc="0" locked="0" layoutInCell="1" allowOverlap="1" wp14:anchorId="26393682" wp14:editId="70B9CACA">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150FE5" w14:paraId="0271D8AF" w14:textId="77777777">
                            <w:trPr>
                              <w:trHeight w:val="2636"/>
                            </w:trPr>
                            <w:tc>
                              <w:tcPr>
                                <w:tcW w:w="737" w:type="dxa"/>
                                <w:shd w:val="clear" w:color="auto" w:fill="auto"/>
                              </w:tcPr>
                              <w:p w14:paraId="7BECE0EE" w14:textId="77777777" w:rsidR="00150FE5" w:rsidRDefault="00150FE5" w:rsidP="006E263E">
                                <w:pPr>
                                  <w:spacing w:line="240" w:lineRule="auto"/>
                                </w:pPr>
                                <w:bookmarkStart w:id="9" w:name="bm_BZlogo"/>
                                <w:bookmarkEnd w:id="9"/>
                                <w:r>
                                  <w:rPr>
                                    <w:noProof/>
                                  </w:rPr>
                                  <w:drawing>
                                    <wp:inline distT="0" distB="0" distL="0" distR="0" wp14:anchorId="301C4F63" wp14:editId="491E67D3">
                                      <wp:extent cx="469900" cy="1587500"/>
                                      <wp:effectExtent l="0" t="0" r="0" b="0"/>
                                      <wp:docPr id="12"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1587500"/>
                                              </a:xfrm>
                                              <a:prstGeom prst="rect">
                                                <a:avLst/>
                                              </a:prstGeom>
                                              <a:noFill/>
                                              <a:ln>
                                                <a:noFill/>
                                              </a:ln>
                                            </pic:spPr>
                                          </pic:pic>
                                        </a:graphicData>
                                      </a:graphic>
                                    </wp:inline>
                                  </w:drawing>
                                </w:r>
                              </w:p>
                            </w:tc>
                            <w:tc>
                              <w:tcPr>
                                <w:tcW w:w="5383" w:type="dxa"/>
                                <w:shd w:val="clear" w:color="auto" w:fill="auto"/>
                              </w:tcPr>
                              <w:p w14:paraId="497E0425" w14:textId="77777777" w:rsidR="00150FE5" w:rsidRDefault="00150FE5" w:rsidP="006E263E">
                                <w:pPr>
                                  <w:spacing w:line="240" w:lineRule="auto"/>
                                </w:pPr>
                                <w:r>
                                  <w:rPr>
                                    <w:noProof/>
                                  </w:rPr>
                                  <w:drawing>
                                    <wp:inline distT="0" distB="0" distL="0" distR="0" wp14:anchorId="2E81E1D8" wp14:editId="47C1ED4A">
                                      <wp:extent cx="2444750" cy="1651000"/>
                                      <wp:effectExtent l="0" t="0" r="0" b="0"/>
                                      <wp:docPr id="13"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649271DC" w14:textId="77777777" w:rsidR="00150FE5" w:rsidRDefault="00150FE5" w:rsidP="00AE29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93682"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150FE5" w14:paraId="0271D8AF" w14:textId="77777777">
                      <w:trPr>
                        <w:trHeight w:val="2636"/>
                      </w:trPr>
                      <w:tc>
                        <w:tcPr>
                          <w:tcW w:w="737" w:type="dxa"/>
                          <w:shd w:val="clear" w:color="auto" w:fill="auto"/>
                        </w:tcPr>
                        <w:p w14:paraId="7BECE0EE" w14:textId="77777777" w:rsidR="00150FE5" w:rsidRDefault="00150FE5" w:rsidP="006E263E">
                          <w:pPr>
                            <w:spacing w:line="240" w:lineRule="auto"/>
                          </w:pPr>
                          <w:bookmarkStart w:id="10" w:name="bm_BZlogo"/>
                          <w:bookmarkEnd w:id="10"/>
                          <w:r>
                            <w:rPr>
                              <w:noProof/>
                            </w:rPr>
                            <w:drawing>
                              <wp:inline distT="0" distB="0" distL="0" distR="0" wp14:anchorId="301C4F63" wp14:editId="491E67D3">
                                <wp:extent cx="469900" cy="1587500"/>
                                <wp:effectExtent l="0" t="0" r="0" b="0"/>
                                <wp:docPr id="12"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1587500"/>
                                        </a:xfrm>
                                        <a:prstGeom prst="rect">
                                          <a:avLst/>
                                        </a:prstGeom>
                                        <a:noFill/>
                                        <a:ln>
                                          <a:noFill/>
                                        </a:ln>
                                      </pic:spPr>
                                    </pic:pic>
                                  </a:graphicData>
                                </a:graphic>
                              </wp:inline>
                            </w:drawing>
                          </w:r>
                        </w:p>
                      </w:tc>
                      <w:tc>
                        <w:tcPr>
                          <w:tcW w:w="5383" w:type="dxa"/>
                          <w:shd w:val="clear" w:color="auto" w:fill="auto"/>
                        </w:tcPr>
                        <w:p w14:paraId="497E0425" w14:textId="77777777" w:rsidR="00150FE5" w:rsidRDefault="00150FE5" w:rsidP="006E263E">
                          <w:pPr>
                            <w:spacing w:line="240" w:lineRule="auto"/>
                          </w:pPr>
                          <w:r>
                            <w:rPr>
                              <w:noProof/>
                            </w:rPr>
                            <w:drawing>
                              <wp:inline distT="0" distB="0" distL="0" distR="0" wp14:anchorId="2E81E1D8" wp14:editId="47C1ED4A">
                                <wp:extent cx="2444750" cy="1651000"/>
                                <wp:effectExtent l="0" t="0" r="0" b="0"/>
                                <wp:docPr id="13"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649271DC" w14:textId="77777777" w:rsidR="00150FE5" w:rsidRDefault="00150FE5" w:rsidP="00AE299D"/>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150FE5" w:rsidRPr="00785F18" w14:paraId="47D43899" w14:textId="77777777" w:rsidTr="00AE299D">
      <w:trPr>
        <w:cantSplit/>
        <w:trHeight w:hRule="exact" w:val="3340"/>
      </w:trPr>
      <w:tc>
        <w:tcPr>
          <w:tcW w:w="5640" w:type="dxa"/>
          <w:shd w:val="clear" w:color="auto" w:fill="auto"/>
        </w:tcPr>
        <w:p w14:paraId="58BC3899" w14:textId="77777777" w:rsidR="00150FE5" w:rsidRPr="00785F18" w:rsidRDefault="00150FE5" w:rsidP="00AE299D">
          <w:pPr>
            <w:ind w:left="240" w:hanging="240"/>
          </w:pPr>
        </w:p>
      </w:tc>
    </w:tr>
    <w:tr w:rsidR="00150FE5" w:rsidRPr="00B3437D" w14:paraId="776A0DB0" w14:textId="77777777" w:rsidTr="00AE299D">
      <w:trPr>
        <w:cantSplit/>
        <w:trHeight w:hRule="exact" w:val="1440"/>
      </w:trPr>
      <w:tc>
        <w:tcPr>
          <w:tcW w:w="5640" w:type="dxa"/>
          <w:shd w:val="clear" w:color="auto" w:fill="auto"/>
        </w:tcPr>
        <w:p w14:paraId="338C1874" w14:textId="77777777" w:rsidR="00150FE5" w:rsidRPr="00785F18" w:rsidRDefault="00150FE5" w:rsidP="00AE299D">
          <w:pPr>
            <w:rPr>
              <w:rStyle w:val="Huisstijl-Rubricering"/>
              <w:smallCaps w:val="0"/>
            </w:rPr>
          </w:pPr>
        </w:p>
        <w:p w14:paraId="2092EFF0" w14:textId="77777777" w:rsidR="00150FE5" w:rsidRPr="00785F18" w:rsidRDefault="00150FE5" w:rsidP="00AE299D">
          <w:pPr>
            <w:spacing w:line="180" w:lineRule="atLeast"/>
            <w:rPr>
              <w:rStyle w:val="Huisstijl-Rubricering"/>
              <w:smallCaps w:val="0"/>
            </w:rPr>
          </w:pPr>
        </w:p>
        <w:p w14:paraId="400B7CD7" w14:textId="2FB59D91" w:rsidR="00150FE5" w:rsidRPr="00B255E4" w:rsidRDefault="00150FE5" w:rsidP="00AE299D">
          <w:pPr>
            <w:pStyle w:val="Title"/>
            <w:rPr>
              <w:lang w:val="en-US"/>
            </w:rPr>
          </w:pPr>
          <w:bookmarkStart w:id="11" w:name="titel"/>
          <w:r w:rsidRPr="00B255E4">
            <w:rPr>
              <w:lang w:val="en-US"/>
            </w:rPr>
            <w:t>Scorecard</w:t>
          </w:r>
          <w:bookmarkEnd w:id="11"/>
          <w:r w:rsidRPr="00B255E4">
            <w:rPr>
              <w:lang w:val="en-US"/>
            </w:rPr>
            <w:t xml:space="preserve">  </w:t>
          </w:r>
          <w:bookmarkStart w:id="12" w:name="subtitel"/>
          <w:r w:rsidRPr="00B255E4">
            <w:rPr>
              <w:lang w:val="en-US"/>
            </w:rPr>
            <w:t xml:space="preserve"> </w:t>
          </w:r>
          <w:bookmarkEnd w:id="12"/>
          <w:r>
            <w:rPr>
              <w:rStyle w:val="SubtitleChar"/>
              <w:lang w:val="en-US"/>
            </w:rPr>
            <w:t xml:space="preserve">International Trade Centre </w:t>
          </w:r>
        </w:p>
        <w:p w14:paraId="13C115DB" w14:textId="77777777" w:rsidR="00150FE5" w:rsidRPr="00B36546" w:rsidRDefault="00150FE5" w:rsidP="00AE299D">
          <w:pPr>
            <w:rPr>
              <w:lang w:val="en-GB"/>
            </w:rPr>
          </w:pPr>
        </w:p>
        <w:p w14:paraId="71702C8D" w14:textId="77777777" w:rsidR="00150FE5" w:rsidRPr="00B36546" w:rsidRDefault="00150FE5" w:rsidP="00AE299D">
          <w:pPr>
            <w:tabs>
              <w:tab w:val="left" w:pos="3281"/>
            </w:tabs>
            <w:rPr>
              <w:lang w:val="en-GB"/>
            </w:rPr>
          </w:pPr>
          <w:r w:rsidRPr="00B36546">
            <w:rPr>
              <w:lang w:val="en-GB"/>
            </w:rPr>
            <w:tab/>
          </w:r>
        </w:p>
      </w:tc>
    </w:tr>
    <w:tr w:rsidR="00150FE5" w:rsidRPr="00B3437D" w14:paraId="0F72235E" w14:textId="77777777" w:rsidTr="00AE299D">
      <w:trPr>
        <w:cantSplit/>
        <w:trHeight w:hRule="exact" w:val="240"/>
      </w:trPr>
      <w:tc>
        <w:tcPr>
          <w:tcW w:w="5640" w:type="dxa"/>
          <w:shd w:val="clear" w:color="auto" w:fill="auto"/>
        </w:tcPr>
        <w:p w14:paraId="3A9C0B81" w14:textId="77777777" w:rsidR="00150FE5" w:rsidRPr="00B36546" w:rsidRDefault="00150FE5" w:rsidP="00AE299D">
          <w:pPr>
            <w:rPr>
              <w:lang w:val="en-GB"/>
            </w:rPr>
          </w:pPr>
        </w:p>
      </w:tc>
    </w:tr>
    <w:tr w:rsidR="00150FE5" w:rsidRPr="00B3437D" w14:paraId="6D8F3E4A" w14:textId="77777777" w:rsidTr="00AE299D">
      <w:trPr>
        <w:cantSplit/>
        <w:trHeight w:hRule="exact" w:val="480"/>
      </w:trPr>
      <w:tc>
        <w:tcPr>
          <w:tcW w:w="5640" w:type="dxa"/>
          <w:shd w:val="clear" w:color="auto" w:fill="auto"/>
        </w:tcPr>
        <w:p w14:paraId="28C375E9" w14:textId="77777777" w:rsidR="00150FE5" w:rsidRPr="00B36546" w:rsidRDefault="00150FE5" w:rsidP="00AE299D">
          <w:pPr>
            <w:rPr>
              <w:lang w:val="en-GB"/>
            </w:rPr>
          </w:pPr>
        </w:p>
      </w:tc>
    </w:tr>
  </w:tbl>
  <w:p w14:paraId="2B558423" w14:textId="684DAD5F" w:rsidR="00150FE5" w:rsidRPr="00B36546" w:rsidRDefault="00150FE5" w:rsidP="00AE299D">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15 augustus 2017</w:t>
    </w:r>
  </w:p>
  <w:p w14:paraId="75FDA782" w14:textId="77777777" w:rsidR="00150FE5" w:rsidRPr="008517DE" w:rsidRDefault="00150FE5"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3BB5F57"/>
    <w:multiLevelType w:val="multilevel"/>
    <w:tmpl w:val="5AEEDE88"/>
    <w:numStyleLink w:val="StyleBulleted"/>
  </w:abstractNum>
  <w:abstractNum w:abstractNumId="2"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D9543F4"/>
    <w:multiLevelType w:val="multilevel"/>
    <w:tmpl w:val="4F2CD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643A74"/>
    <w:multiLevelType w:val="hybridMultilevel"/>
    <w:tmpl w:val="674C69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8"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623655D"/>
    <w:multiLevelType w:val="multilevel"/>
    <w:tmpl w:val="5AEEDE88"/>
    <w:numStyleLink w:val="StyleBulleted"/>
  </w:abstractNum>
  <w:abstractNum w:abstractNumId="10"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A5A20BC"/>
    <w:multiLevelType w:val="multilevel"/>
    <w:tmpl w:val="5AEEDE88"/>
    <w:numStyleLink w:val="StyleBulleted"/>
  </w:abstractNum>
  <w:abstractNum w:abstractNumId="12"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4"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7E4628"/>
    <w:multiLevelType w:val="hybridMultilevel"/>
    <w:tmpl w:val="48426A70"/>
    <w:lvl w:ilvl="0" w:tplc="0B7CD12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2F82FF2"/>
    <w:multiLevelType w:val="multilevel"/>
    <w:tmpl w:val="5AEEDE88"/>
    <w:numStyleLink w:val="StyleBulleted"/>
  </w:abstractNum>
  <w:abstractNum w:abstractNumId="18"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A925AE0"/>
    <w:multiLevelType w:val="multilevel"/>
    <w:tmpl w:val="F81E56B6"/>
    <w:lvl w:ilvl="0">
      <w:start w:val="5"/>
      <w:numFmt w:val="decimal"/>
      <w:lvlText w:val="%1"/>
      <w:lvlJc w:val="left"/>
      <w:pPr>
        <w:ind w:left="360" w:hanging="360"/>
      </w:pPr>
      <w:rPr>
        <w:rFonts w:hint="default"/>
      </w:rPr>
    </w:lvl>
    <w:lvl w:ilvl="1">
      <w:start w:val="1"/>
      <w:numFmt w:val="decimal"/>
      <w:lvlText w:val="%1.%2"/>
      <w:lvlJc w:val="left"/>
      <w:pPr>
        <w:ind w:left="-774" w:hanging="360"/>
      </w:pPr>
      <w:rPr>
        <w:rFonts w:hint="default"/>
      </w:rPr>
    </w:lvl>
    <w:lvl w:ilvl="2">
      <w:start w:val="1"/>
      <w:numFmt w:val="decimal"/>
      <w:lvlText w:val="%1.%2.%3"/>
      <w:lvlJc w:val="left"/>
      <w:pPr>
        <w:ind w:left="-1548" w:hanging="720"/>
      </w:pPr>
      <w:rPr>
        <w:rFonts w:hint="default"/>
      </w:rPr>
    </w:lvl>
    <w:lvl w:ilvl="3">
      <w:start w:val="1"/>
      <w:numFmt w:val="decimal"/>
      <w:lvlText w:val="%1.%2.%3.%4"/>
      <w:lvlJc w:val="left"/>
      <w:pPr>
        <w:ind w:left="-2322" w:hanging="1080"/>
      </w:pPr>
      <w:rPr>
        <w:rFonts w:hint="default"/>
      </w:rPr>
    </w:lvl>
    <w:lvl w:ilvl="4">
      <w:start w:val="1"/>
      <w:numFmt w:val="decimal"/>
      <w:lvlText w:val="%1.%2.%3.%4.%5"/>
      <w:lvlJc w:val="left"/>
      <w:pPr>
        <w:ind w:left="-3456" w:hanging="1080"/>
      </w:pPr>
      <w:rPr>
        <w:rFonts w:hint="default"/>
      </w:rPr>
    </w:lvl>
    <w:lvl w:ilvl="5">
      <w:start w:val="1"/>
      <w:numFmt w:val="decimal"/>
      <w:lvlText w:val="%1.%2.%3.%4.%5.%6"/>
      <w:lvlJc w:val="left"/>
      <w:pPr>
        <w:ind w:left="-4230" w:hanging="1440"/>
      </w:pPr>
      <w:rPr>
        <w:rFonts w:hint="default"/>
      </w:rPr>
    </w:lvl>
    <w:lvl w:ilvl="6">
      <w:start w:val="1"/>
      <w:numFmt w:val="decimal"/>
      <w:lvlText w:val="%1.%2.%3.%4.%5.%6.%7"/>
      <w:lvlJc w:val="left"/>
      <w:pPr>
        <w:ind w:left="-5364" w:hanging="1440"/>
      </w:pPr>
      <w:rPr>
        <w:rFonts w:hint="default"/>
      </w:rPr>
    </w:lvl>
    <w:lvl w:ilvl="7">
      <w:start w:val="1"/>
      <w:numFmt w:val="decimal"/>
      <w:lvlText w:val="%1.%2.%3.%4.%5.%6.%7.%8"/>
      <w:lvlJc w:val="left"/>
      <w:pPr>
        <w:ind w:left="-6138" w:hanging="1800"/>
      </w:pPr>
      <w:rPr>
        <w:rFonts w:hint="default"/>
      </w:rPr>
    </w:lvl>
    <w:lvl w:ilvl="8">
      <w:start w:val="1"/>
      <w:numFmt w:val="decimal"/>
      <w:lvlText w:val="%1.%2.%3.%4.%5.%6.%7.%8.%9"/>
      <w:lvlJc w:val="left"/>
      <w:pPr>
        <w:ind w:left="-6912" w:hanging="2160"/>
      </w:pPr>
      <w:rPr>
        <w:rFonts w:hint="default"/>
      </w:rPr>
    </w:lvl>
  </w:abstractNum>
  <w:abstractNum w:abstractNumId="21" w15:restartNumberingAfterBreak="0">
    <w:nsid w:val="2FAD38F7"/>
    <w:multiLevelType w:val="hybridMultilevel"/>
    <w:tmpl w:val="4AAE70E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3"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4"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7" w15:restartNumberingAfterBreak="0">
    <w:nsid w:val="3CC75C4C"/>
    <w:multiLevelType w:val="hybridMultilevel"/>
    <w:tmpl w:val="309E9E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408335F4"/>
    <w:multiLevelType w:val="multilevel"/>
    <w:tmpl w:val="5AEEDE88"/>
    <w:numStyleLink w:val="StyleBulleted"/>
  </w:abstractNum>
  <w:abstractNum w:abstractNumId="29" w15:restartNumberingAfterBreak="0">
    <w:nsid w:val="48D96861"/>
    <w:multiLevelType w:val="hybridMultilevel"/>
    <w:tmpl w:val="40381B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4A753EF8"/>
    <w:multiLevelType w:val="hybridMultilevel"/>
    <w:tmpl w:val="ECB805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2"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94A28DB"/>
    <w:multiLevelType w:val="hybridMultilevel"/>
    <w:tmpl w:val="7B1666AE"/>
    <w:lvl w:ilvl="0" w:tplc="AD3C7D7C">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D750EE7"/>
    <w:multiLevelType w:val="multilevel"/>
    <w:tmpl w:val="5AEEDE88"/>
    <w:numStyleLink w:val="StyleBulleted"/>
  </w:abstractNum>
  <w:abstractNum w:abstractNumId="36"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7"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8" w15:restartNumberingAfterBreak="0">
    <w:nsid w:val="63A20AAC"/>
    <w:multiLevelType w:val="multilevel"/>
    <w:tmpl w:val="5AEEDE88"/>
    <w:numStyleLink w:val="StyleBulleted"/>
  </w:abstractNum>
  <w:abstractNum w:abstractNumId="39"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40"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41" w15:restartNumberingAfterBreak="0">
    <w:nsid w:val="6D193965"/>
    <w:multiLevelType w:val="multilevel"/>
    <w:tmpl w:val="5AEEDE88"/>
    <w:numStyleLink w:val="StyleBulleted"/>
  </w:abstractNum>
  <w:abstractNum w:abstractNumId="42" w15:restartNumberingAfterBreak="0">
    <w:nsid w:val="6F1B2CBC"/>
    <w:multiLevelType w:val="multilevel"/>
    <w:tmpl w:val="5AEEDE88"/>
    <w:numStyleLink w:val="StyleBulleted"/>
  </w:abstractNum>
  <w:abstractNum w:abstractNumId="43" w15:restartNumberingAfterBreak="0">
    <w:nsid w:val="70B81D27"/>
    <w:multiLevelType w:val="hybridMultilevel"/>
    <w:tmpl w:val="0B3EBC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45" w15:restartNumberingAfterBreak="0">
    <w:nsid w:val="730130F9"/>
    <w:multiLevelType w:val="hybridMultilevel"/>
    <w:tmpl w:val="A73A0348"/>
    <w:lvl w:ilvl="0" w:tplc="5BE61518">
      <w:start w:val="1"/>
      <w:numFmt w:val="lowerLetter"/>
      <w:lvlText w:val="(%1)"/>
      <w:lvlJc w:val="left"/>
      <w:pPr>
        <w:ind w:left="1125" w:hanging="360"/>
      </w:pPr>
      <w:rPr>
        <w:rFonts w:hint="default"/>
      </w:rPr>
    </w:lvl>
    <w:lvl w:ilvl="1" w:tplc="04130019" w:tentative="1">
      <w:start w:val="1"/>
      <w:numFmt w:val="lowerLetter"/>
      <w:lvlText w:val="%2."/>
      <w:lvlJc w:val="left"/>
      <w:pPr>
        <w:ind w:left="1845" w:hanging="360"/>
      </w:pPr>
    </w:lvl>
    <w:lvl w:ilvl="2" w:tplc="0413001B" w:tentative="1">
      <w:start w:val="1"/>
      <w:numFmt w:val="lowerRoman"/>
      <w:lvlText w:val="%3."/>
      <w:lvlJc w:val="right"/>
      <w:pPr>
        <w:ind w:left="2565" w:hanging="180"/>
      </w:pPr>
    </w:lvl>
    <w:lvl w:ilvl="3" w:tplc="0413000F" w:tentative="1">
      <w:start w:val="1"/>
      <w:numFmt w:val="decimal"/>
      <w:lvlText w:val="%4."/>
      <w:lvlJc w:val="left"/>
      <w:pPr>
        <w:ind w:left="3285" w:hanging="360"/>
      </w:pPr>
    </w:lvl>
    <w:lvl w:ilvl="4" w:tplc="04130019" w:tentative="1">
      <w:start w:val="1"/>
      <w:numFmt w:val="lowerLetter"/>
      <w:lvlText w:val="%5."/>
      <w:lvlJc w:val="left"/>
      <w:pPr>
        <w:ind w:left="4005" w:hanging="360"/>
      </w:pPr>
    </w:lvl>
    <w:lvl w:ilvl="5" w:tplc="0413001B" w:tentative="1">
      <w:start w:val="1"/>
      <w:numFmt w:val="lowerRoman"/>
      <w:lvlText w:val="%6."/>
      <w:lvlJc w:val="right"/>
      <w:pPr>
        <w:ind w:left="4725" w:hanging="180"/>
      </w:pPr>
    </w:lvl>
    <w:lvl w:ilvl="6" w:tplc="0413000F" w:tentative="1">
      <w:start w:val="1"/>
      <w:numFmt w:val="decimal"/>
      <w:lvlText w:val="%7."/>
      <w:lvlJc w:val="left"/>
      <w:pPr>
        <w:ind w:left="5445" w:hanging="360"/>
      </w:pPr>
    </w:lvl>
    <w:lvl w:ilvl="7" w:tplc="04130019" w:tentative="1">
      <w:start w:val="1"/>
      <w:numFmt w:val="lowerLetter"/>
      <w:lvlText w:val="%8."/>
      <w:lvlJc w:val="left"/>
      <w:pPr>
        <w:ind w:left="6165" w:hanging="360"/>
      </w:pPr>
    </w:lvl>
    <w:lvl w:ilvl="8" w:tplc="0413001B" w:tentative="1">
      <w:start w:val="1"/>
      <w:numFmt w:val="lowerRoman"/>
      <w:lvlText w:val="%9."/>
      <w:lvlJc w:val="right"/>
      <w:pPr>
        <w:ind w:left="6885" w:hanging="180"/>
      </w:pPr>
    </w:lvl>
  </w:abstractNum>
  <w:abstractNum w:abstractNumId="46"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7"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6"/>
  </w:num>
  <w:num w:numId="2">
    <w:abstractNumId w:val="39"/>
  </w:num>
  <w:num w:numId="3">
    <w:abstractNumId w:val="26"/>
  </w:num>
  <w:num w:numId="4">
    <w:abstractNumId w:val="0"/>
  </w:num>
  <w:num w:numId="5">
    <w:abstractNumId w:val="40"/>
  </w:num>
  <w:num w:numId="6">
    <w:abstractNumId w:val="2"/>
  </w:num>
  <w:num w:numId="7">
    <w:abstractNumId w:val="14"/>
  </w:num>
  <w:num w:numId="8">
    <w:abstractNumId w:val="42"/>
  </w:num>
  <w:num w:numId="9">
    <w:abstractNumId w:val="38"/>
  </w:num>
  <w:num w:numId="10">
    <w:abstractNumId w:val="17"/>
  </w:num>
  <w:num w:numId="11">
    <w:abstractNumId w:val="9"/>
  </w:num>
  <w:num w:numId="12">
    <w:abstractNumId w:val="41"/>
  </w:num>
  <w:num w:numId="13">
    <w:abstractNumId w:val="23"/>
  </w:num>
  <w:num w:numId="14">
    <w:abstractNumId w:val="1"/>
  </w:num>
  <w:num w:numId="15">
    <w:abstractNumId w:val="11"/>
  </w:num>
  <w:num w:numId="16">
    <w:abstractNumId w:val="37"/>
  </w:num>
  <w:num w:numId="17">
    <w:abstractNumId w:val="28"/>
  </w:num>
  <w:num w:numId="18">
    <w:abstractNumId w:val="35"/>
  </w:num>
  <w:num w:numId="19">
    <w:abstractNumId w:val="22"/>
  </w:num>
  <w:num w:numId="20">
    <w:abstractNumId w:val="46"/>
  </w:num>
  <w:num w:numId="21">
    <w:abstractNumId w:val="7"/>
  </w:num>
  <w:num w:numId="22">
    <w:abstractNumId w:val="31"/>
  </w:num>
  <w:num w:numId="23">
    <w:abstractNumId w:val="47"/>
  </w:num>
  <w:num w:numId="24">
    <w:abstractNumId w:val="18"/>
  </w:num>
  <w:num w:numId="25">
    <w:abstractNumId w:val="18"/>
  </w:num>
  <w:num w:numId="26">
    <w:abstractNumId w:val="13"/>
  </w:num>
  <w:num w:numId="27">
    <w:abstractNumId w:val="12"/>
  </w:num>
  <w:num w:numId="28">
    <w:abstractNumId w:val="10"/>
  </w:num>
  <w:num w:numId="29">
    <w:abstractNumId w:val="8"/>
  </w:num>
  <w:num w:numId="30">
    <w:abstractNumId w:val="3"/>
  </w:num>
  <w:num w:numId="31">
    <w:abstractNumId w:val="25"/>
  </w:num>
  <w:num w:numId="32">
    <w:abstractNumId w:val="24"/>
  </w:num>
  <w:num w:numId="33">
    <w:abstractNumId w:val="19"/>
  </w:num>
  <w:num w:numId="34">
    <w:abstractNumId w:val="48"/>
  </w:num>
  <w:num w:numId="35">
    <w:abstractNumId w:val="6"/>
  </w:num>
  <w:num w:numId="36">
    <w:abstractNumId w:val="33"/>
  </w:num>
  <w:num w:numId="37">
    <w:abstractNumId w:val="44"/>
  </w:num>
  <w:num w:numId="38">
    <w:abstractNumId w:val="16"/>
  </w:num>
  <w:num w:numId="39">
    <w:abstractNumId w:val="32"/>
  </w:num>
  <w:num w:numId="40">
    <w:abstractNumId w:val="4"/>
  </w:num>
  <w:num w:numId="41">
    <w:abstractNumId w:val="34"/>
  </w:num>
  <w:num w:numId="42">
    <w:abstractNumId w:val="27"/>
  </w:num>
  <w:num w:numId="43">
    <w:abstractNumId w:val="45"/>
  </w:num>
  <w:num w:numId="44">
    <w:abstractNumId w:val="30"/>
  </w:num>
  <w:num w:numId="45">
    <w:abstractNumId w:val="15"/>
  </w:num>
  <w:num w:numId="46">
    <w:abstractNumId w:val="5"/>
  </w:num>
  <w:num w:numId="47">
    <w:abstractNumId w:val="43"/>
  </w:num>
  <w:num w:numId="48">
    <w:abstractNumId w:val="29"/>
  </w:num>
  <w:num w:numId="49">
    <w:abstractNumId w:val="21"/>
  </w:num>
  <w:num w:numId="50">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5427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367D"/>
    <w:rsid w:val="0000392E"/>
    <w:rsid w:val="00003A32"/>
    <w:rsid w:val="00005884"/>
    <w:rsid w:val="0000684E"/>
    <w:rsid w:val="00006E47"/>
    <w:rsid w:val="0001095C"/>
    <w:rsid w:val="000114F8"/>
    <w:rsid w:val="00013196"/>
    <w:rsid w:val="00016C57"/>
    <w:rsid w:val="00020189"/>
    <w:rsid w:val="0002075E"/>
    <w:rsid w:val="00020EE4"/>
    <w:rsid w:val="000227EB"/>
    <w:rsid w:val="000234D6"/>
    <w:rsid w:val="0002628D"/>
    <w:rsid w:val="00026447"/>
    <w:rsid w:val="0002695C"/>
    <w:rsid w:val="000304C1"/>
    <w:rsid w:val="00031268"/>
    <w:rsid w:val="00032C0E"/>
    <w:rsid w:val="00033158"/>
    <w:rsid w:val="00033419"/>
    <w:rsid w:val="00033426"/>
    <w:rsid w:val="00033950"/>
    <w:rsid w:val="00033E8D"/>
    <w:rsid w:val="00034A84"/>
    <w:rsid w:val="00035E67"/>
    <w:rsid w:val="00040A45"/>
    <w:rsid w:val="0004192F"/>
    <w:rsid w:val="000422E7"/>
    <w:rsid w:val="00044809"/>
    <w:rsid w:val="00045A4F"/>
    <w:rsid w:val="00046866"/>
    <w:rsid w:val="00047318"/>
    <w:rsid w:val="0005061F"/>
    <w:rsid w:val="00050ABD"/>
    <w:rsid w:val="00050B6A"/>
    <w:rsid w:val="00051416"/>
    <w:rsid w:val="000559DE"/>
    <w:rsid w:val="00057B03"/>
    <w:rsid w:val="0006027D"/>
    <w:rsid w:val="000605A3"/>
    <w:rsid w:val="00066F2B"/>
    <w:rsid w:val="0006700B"/>
    <w:rsid w:val="000705D1"/>
    <w:rsid w:val="00071F28"/>
    <w:rsid w:val="00072371"/>
    <w:rsid w:val="00076FCC"/>
    <w:rsid w:val="00077900"/>
    <w:rsid w:val="00080AE8"/>
    <w:rsid w:val="00081825"/>
    <w:rsid w:val="00081DD4"/>
    <w:rsid w:val="0008255C"/>
    <w:rsid w:val="00082BB1"/>
    <w:rsid w:val="000842B5"/>
    <w:rsid w:val="000842F4"/>
    <w:rsid w:val="00085F22"/>
    <w:rsid w:val="0008640E"/>
    <w:rsid w:val="0008784B"/>
    <w:rsid w:val="00087FA0"/>
    <w:rsid w:val="000903DE"/>
    <w:rsid w:val="00090808"/>
    <w:rsid w:val="0009114D"/>
    <w:rsid w:val="000912C6"/>
    <w:rsid w:val="000924C1"/>
    <w:rsid w:val="00093522"/>
    <w:rsid w:val="00094518"/>
    <w:rsid w:val="00094A14"/>
    <w:rsid w:val="00094B45"/>
    <w:rsid w:val="00096680"/>
    <w:rsid w:val="00097B3F"/>
    <w:rsid w:val="000A01F6"/>
    <w:rsid w:val="000A0BB1"/>
    <w:rsid w:val="000A22CF"/>
    <w:rsid w:val="000A27FF"/>
    <w:rsid w:val="000A2DF7"/>
    <w:rsid w:val="000A381C"/>
    <w:rsid w:val="000A3AF6"/>
    <w:rsid w:val="000B2A0F"/>
    <w:rsid w:val="000B3D79"/>
    <w:rsid w:val="000B477F"/>
    <w:rsid w:val="000B64F8"/>
    <w:rsid w:val="000B7281"/>
    <w:rsid w:val="000B73BA"/>
    <w:rsid w:val="000C05BF"/>
    <w:rsid w:val="000C0757"/>
    <w:rsid w:val="000C07A1"/>
    <w:rsid w:val="000C082E"/>
    <w:rsid w:val="000C0FB6"/>
    <w:rsid w:val="000C3F40"/>
    <w:rsid w:val="000C43A2"/>
    <w:rsid w:val="000C4679"/>
    <w:rsid w:val="000C521E"/>
    <w:rsid w:val="000C575D"/>
    <w:rsid w:val="000C5810"/>
    <w:rsid w:val="000C5E4F"/>
    <w:rsid w:val="000C6EED"/>
    <w:rsid w:val="000D2C16"/>
    <w:rsid w:val="000D3986"/>
    <w:rsid w:val="000D4FDC"/>
    <w:rsid w:val="000D5A63"/>
    <w:rsid w:val="000D6778"/>
    <w:rsid w:val="000D7BB7"/>
    <w:rsid w:val="000E15AA"/>
    <w:rsid w:val="000E21AD"/>
    <w:rsid w:val="000F03D7"/>
    <w:rsid w:val="000F1533"/>
    <w:rsid w:val="000F1A72"/>
    <w:rsid w:val="000F2632"/>
    <w:rsid w:val="000F46A7"/>
    <w:rsid w:val="000F4B53"/>
    <w:rsid w:val="000F53BE"/>
    <w:rsid w:val="000F6168"/>
    <w:rsid w:val="00101F98"/>
    <w:rsid w:val="00102DFB"/>
    <w:rsid w:val="001031E7"/>
    <w:rsid w:val="00103B58"/>
    <w:rsid w:val="00104517"/>
    <w:rsid w:val="001069BA"/>
    <w:rsid w:val="00107EB4"/>
    <w:rsid w:val="00116E2A"/>
    <w:rsid w:val="001210BF"/>
    <w:rsid w:val="00121AD6"/>
    <w:rsid w:val="00122BDB"/>
    <w:rsid w:val="00123082"/>
    <w:rsid w:val="00123704"/>
    <w:rsid w:val="00124B64"/>
    <w:rsid w:val="00125028"/>
    <w:rsid w:val="00125154"/>
    <w:rsid w:val="00125A07"/>
    <w:rsid w:val="001270C7"/>
    <w:rsid w:val="00130208"/>
    <w:rsid w:val="00130DA2"/>
    <w:rsid w:val="00131D1F"/>
    <w:rsid w:val="00134D07"/>
    <w:rsid w:val="00136130"/>
    <w:rsid w:val="00136D94"/>
    <w:rsid w:val="00140FFC"/>
    <w:rsid w:val="0014161D"/>
    <w:rsid w:val="00142259"/>
    <w:rsid w:val="00142628"/>
    <w:rsid w:val="00142859"/>
    <w:rsid w:val="001429A1"/>
    <w:rsid w:val="00142BCD"/>
    <w:rsid w:val="00144379"/>
    <w:rsid w:val="0014786A"/>
    <w:rsid w:val="00150FE5"/>
    <w:rsid w:val="0015109B"/>
    <w:rsid w:val="001516A4"/>
    <w:rsid w:val="00154AD8"/>
    <w:rsid w:val="00163F42"/>
    <w:rsid w:val="00163F5B"/>
    <w:rsid w:val="00163FA2"/>
    <w:rsid w:val="00163FF4"/>
    <w:rsid w:val="00164384"/>
    <w:rsid w:val="00164D75"/>
    <w:rsid w:val="00165BCE"/>
    <w:rsid w:val="00166242"/>
    <w:rsid w:val="00167F79"/>
    <w:rsid w:val="00171AFC"/>
    <w:rsid w:val="001739A0"/>
    <w:rsid w:val="001753DD"/>
    <w:rsid w:val="001802CA"/>
    <w:rsid w:val="00180CBA"/>
    <w:rsid w:val="00181629"/>
    <w:rsid w:val="00181A35"/>
    <w:rsid w:val="00182C7C"/>
    <w:rsid w:val="00183CBA"/>
    <w:rsid w:val="00183FB1"/>
    <w:rsid w:val="00185576"/>
    <w:rsid w:val="00185951"/>
    <w:rsid w:val="00191587"/>
    <w:rsid w:val="00192687"/>
    <w:rsid w:val="0019336F"/>
    <w:rsid w:val="00193994"/>
    <w:rsid w:val="00194809"/>
    <w:rsid w:val="001952F9"/>
    <w:rsid w:val="00195B13"/>
    <w:rsid w:val="001A2505"/>
    <w:rsid w:val="001A4CE3"/>
    <w:rsid w:val="001A5422"/>
    <w:rsid w:val="001B0189"/>
    <w:rsid w:val="001B01D9"/>
    <w:rsid w:val="001B1B4E"/>
    <w:rsid w:val="001B2C4B"/>
    <w:rsid w:val="001B5DC5"/>
    <w:rsid w:val="001B793F"/>
    <w:rsid w:val="001B7D7E"/>
    <w:rsid w:val="001C0CF4"/>
    <w:rsid w:val="001C1AF8"/>
    <w:rsid w:val="001C3DBE"/>
    <w:rsid w:val="001C3DE6"/>
    <w:rsid w:val="001C47F8"/>
    <w:rsid w:val="001C49CC"/>
    <w:rsid w:val="001C6550"/>
    <w:rsid w:val="001C6F39"/>
    <w:rsid w:val="001C793E"/>
    <w:rsid w:val="001D0371"/>
    <w:rsid w:val="001D0FB6"/>
    <w:rsid w:val="001D288C"/>
    <w:rsid w:val="001D5178"/>
    <w:rsid w:val="001D7F60"/>
    <w:rsid w:val="001E1E35"/>
    <w:rsid w:val="001E2B9C"/>
    <w:rsid w:val="001E34C6"/>
    <w:rsid w:val="001E5581"/>
    <w:rsid w:val="001E73BA"/>
    <w:rsid w:val="001F0250"/>
    <w:rsid w:val="001F0D75"/>
    <w:rsid w:val="001F2538"/>
    <w:rsid w:val="001F3AD3"/>
    <w:rsid w:val="001F4D72"/>
    <w:rsid w:val="001F562C"/>
    <w:rsid w:val="001F583B"/>
    <w:rsid w:val="001F6340"/>
    <w:rsid w:val="002068BD"/>
    <w:rsid w:val="00210629"/>
    <w:rsid w:val="00211122"/>
    <w:rsid w:val="002121BE"/>
    <w:rsid w:val="0021384A"/>
    <w:rsid w:val="00216302"/>
    <w:rsid w:val="002165AB"/>
    <w:rsid w:val="00216ADD"/>
    <w:rsid w:val="002212B1"/>
    <w:rsid w:val="00221806"/>
    <w:rsid w:val="002222A2"/>
    <w:rsid w:val="0022295F"/>
    <w:rsid w:val="00223E42"/>
    <w:rsid w:val="00234DF4"/>
    <w:rsid w:val="00234F48"/>
    <w:rsid w:val="00236D79"/>
    <w:rsid w:val="00237401"/>
    <w:rsid w:val="00237F45"/>
    <w:rsid w:val="0024163C"/>
    <w:rsid w:val="00242356"/>
    <w:rsid w:val="002428E3"/>
    <w:rsid w:val="00245967"/>
    <w:rsid w:val="00246848"/>
    <w:rsid w:val="00247458"/>
    <w:rsid w:val="0025034D"/>
    <w:rsid w:val="00252283"/>
    <w:rsid w:val="00254103"/>
    <w:rsid w:val="002568BC"/>
    <w:rsid w:val="00256E73"/>
    <w:rsid w:val="002579E2"/>
    <w:rsid w:val="00260BAF"/>
    <w:rsid w:val="00261F77"/>
    <w:rsid w:val="002633CA"/>
    <w:rsid w:val="002644F5"/>
    <w:rsid w:val="00264CB9"/>
    <w:rsid w:val="002650F7"/>
    <w:rsid w:val="00266018"/>
    <w:rsid w:val="00267BA5"/>
    <w:rsid w:val="0027051F"/>
    <w:rsid w:val="00273163"/>
    <w:rsid w:val="002731C3"/>
    <w:rsid w:val="002733CD"/>
    <w:rsid w:val="0027471C"/>
    <w:rsid w:val="002803F3"/>
    <w:rsid w:val="0028070F"/>
    <w:rsid w:val="00280CF7"/>
    <w:rsid w:val="00280DAE"/>
    <w:rsid w:val="00280F74"/>
    <w:rsid w:val="00281846"/>
    <w:rsid w:val="00283363"/>
    <w:rsid w:val="00286998"/>
    <w:rsid w:val="002874CC"/>
    <w:rsid w:val="00290320"/>
    <w:rsid w:val="00290657"/>
    <w:rsid w:val="002912E8"/>
    <w:rsid w:val="002943D6"/>
    <w:rsid w:val="002957DE"/>
    <w:rsid w:val="00296115"/>
    <w:rsid w:val="00297320"/>
    <w:rsid w:val="002A149F"/>
    <w:rsid w:val="002A1CB5"/>
    <w:rsid w:val="002A20EF"/>
    <w:rsid w:val="002A310E"/>
    <w:rsid w:val="002A5261"/>
    <w:rsid w:val="002A6BF7"/>
    <w:rsid w:val="002B0F2F"/>
    <w:rsid w:val="002B153C"/>
    <w:rsid w:val="002B7582"/>
    <w:rsid w:val="002B76D0"/>
    <w:rsid w:val="002C2320"/>
    <w:rsid w:val="002C3659"/>
    <w:rsid w:val="002C45B0"/>
    <w:rsid w:val="002C6064"/>
    <w:rsid w:val="002C653F"/>
    <w:rsid w:val="002C6A05"/>
    <w:rsid w:val="002C7285"/>
    <w:rsid w:val="002C7362"/>
    <w:rsid w:val="002C75D9"/>
    <w:rsid w:val="002C77AF"/>
    <w:rsid w:val="002D1801"/>
    <w:rsid w:val="002D3129"/>
    <w:rsid w:val="002D317B"/>
    <w:rsid w:val="002D6BF5"/>
    <w:rsid w:val="002D70F3"/>
    <w:rsid w:val="002D7601"/>
    <w:rsid w:val="002E05CA"/>
    <w:rsid w:val="002E0F69"/>
    <w:rsid w:val="002E14DF"/>
    <w:rsid w:val="002E14E1"/>
    <w:rsid w:val="002E184D"/>
    <w:rsid w:val="002E1FAD"/>
    <w:rsid w:val="002E3F64"/>
    <w:rsid w:val="002E44D1"/>
    <w:rsid w:val="002E572E"/>
    <w:rsid w:val="002E7941"/>
    <w:rsid w:val="002F1D5F"/>
    <w:rsid w:val="002F35DC"/>
    <w:rsid w:val="002F56DD"/>
    <w:rsid w:val="002F5E6C"/>
    <w:rsid w:val="002F6CE5"/>
    <w:rsid w:val="002F7070"/>
    <w:rsid w:val="0030018C"/>
    <w:rsid w:val="00300D9E"/>
    <w:rsid w:val="0030201A"/>
    <w:rsid w:val="00302C0A"/>
    <w:rsid w:val="00303724"/>
    <w:rsid w:val="003051CC"/>
    <w:rsid w:val="00306B7E"/>
    <w:rsid w:val="00307981"/>
    <w:rsid w:val="00307CF0"/>
    <w:rsid w:val="00311D97"/>
    <w:rsid w:val="00312597"/>
    <w:rsid w:val="003139A4"/>
    <w:rsid w:val="003141DF"/>
    <w:rsid w:val="0031751C"/>
    <w:rsid w:val="00321AA3"/>
    <w:rsid w:val="00322BB7"/>
    <w:rsid w:val="00326699"/>
    <w:rsid w:val="0033173E"/>
    <w:rsid w:val="00331B8E"/>
    <w:rsid w:val="0033207E"/>
    <w:rsid w:val="00333036"/>
    <w:rsid w:val="003331DA"/>
    <w:rsid w:val="00333A9E"/>
    <w:rsid w:val="00334334"/>
    <w:rsid w:val="00335F89"/>
    <w:rsid w:val="003412ED"/>
    <w:rsid w:val="00341585"/>
    <w:rsid w:val="00342938"/>
    <w:rsid w:val="00343F24"/>
    <w:rsid w:val="003477DF"/>
    <w:rsid w:val="00350DC8"/>
    <w:rsid w:val="00353D56"/>
    <w:rsid w:val="003554B8"/>
    <w:rsid w:val="00355575"/>
    <w:rsid w:val="003555BF"/>
    <w:rsid w:val="0036223B"/>
    <w:rsid w:val="0036252A"/>
    <w:rsid w:val="003646BF"/>
    <w:rsid w:val="00364D9D"/>
    <w:rsid w:val="003668AB"/>
    <w:rsid w:val="00371603"/>
    <w:rsid w:val="003735B9"/>
    <w:rsid w:val="003737A8"/>
    <w:rsid w:val="0037461E"/>
    <w:rsid w:val="00374748"/>
    <w:rsid w:val="00382AE3"/>
    <w:rsid w:val="00383906"/>
    <w:rsid w:val="00383DA1"/>
    <w:rsid w:val="00387E90"/>
    <w:rsid w:val="003912B4"/>
    <w:rsid w:val="0039160C"/>
    <w:rsid w:val="00392007"/>
    <w:rsid w:val="0039660F"/>
    <w:rsid w:val="0039741E"/>
    <w:rsid w:val="0039744C"/>
    <w:rsid w:val="00397C46"/>
    <w:rsid w:val="003A06C8"/>
    <w:rsid w:val="003A0D7C"/>
    <w:rsid w:val="003A1E73"/>
    <w:rsid w:val="003A32D7"/>
    <w:rsid w:val="003A65E8"/>
    <w:rsid w:val="003A667A"/>
    <w:rsid w:val="003A74F5"/>
    <w:rsid w:val="003A7AFA"/>
    <w:rsid w:val="003A7CA6"/>
    <w:rsid w:val="003B40BE"/>
    <w:rsid w:val="003B4CB4"/>
    <w:rsid w:val="003B518B"/>
    <w:rsid w:val="003B58E3"/>
    <w:rsid w:val="003B7612"/>
    <w:rsid w:val="003B7EE7"/>
    <w:rsid w:val="003C18C0"/>
    <w:rsid w:val="003C6ADC"/>
    <w:rsid w:val="003C7467"/>
    <w:rsid w:val="003D1F17"/>
    <w:rsid w:val="003D244F"/>
    <w:rsid w:val="003D39EC"/>
    <w:rsid w:val="003D3E27"/>
    <w:rsid w:val="003D53B3"/>
    <w:rsid w:val="003D5452"/>
    <w:rsid w:val="003D606F"/>
    <w:rsid w:val="003D6943"/>
    <w:rsid w:val="003D78F6"/>
    <w:rsid w:val="003E0D8B"/>
    <w:rsid w:val="003E0DD1"/>
    <w:rsid w:val="003E3DD5"/>
    <w:rsid w:val="003E537A"/>
    <w:rsid w:val="003E55D6"/>
    <w:rsid w:val="003E6FCE"/>
    <w:rsid w:val="003E713E"/>
    <w:rsid w:val="003E7BF8"/>
    <w:rsid w:val="003E7ECF"/>
    <w:rsid w:val="003F0833"/>
    <w:rsid w:val="003F0B8C"/>
    <w:rsid w:val="003F1ECD"/>
    <w:rsid w:val="003F26FC"/>
    <w:rsid w:val="003F350F"/>
    <w:rsid w:val="003F44B7"/>
    <w:rsid w:val="003F4B20"/>
    <w:rsid w:val="003F75A0"/>
    <w:rsid w:val="00400F1C"/>
    <w:rsid w:val="0040306E"/>
    <w:rsid w:val="004030D8"/>
    <w:rsid w:val="00404B4E"/>
    <w:rsid w:val="00405BB4"/>
    <w:rsid w:val="00406AF7"/>
    <w:rsid w:val="004075F2"/>
    <w:rsid w:val="00410DE8"/>
    <w:rsid w:val="00411100"/>
    <w:rsid w:val="004111DA"/>
    <w:rsid w:val="00413D48"/>
    <w:rsid w:val="00414ACD"/>
    <w:rsid w:val="004206E3"/>
    <w:rsid w:val="00420B7A"/>
    <w:rsid w:val="004213B0"/>
    <w:rsid w:val="00422948"/>
    <w:rsid w:val="00422FEE"/>
    <w:rsid w:val="00430CBE"/>
    <w:rsid w:val="004374FA"/>
    <w:rsid w:val="00441AC2"/>
    <w:rsid w:val="004425A0"/>
    <w:rsid w:val="00442E2E"/>
    <w:rsid w:val="00444592"/>
    <w:rsid w:val="00445FEE"/>
    <w:rsid w:val="0044678E"/>
    <w:rsid w:val="004469C1"/>
    <w:rsid w:val="00447E60"/>
    <w:rsid w:val="0045061E"/>
    <w:rsid w:val="004510AC"/>
    <w:rsid w:val="004520E4"/>
    <w:rsid w:val="004528F1"/>
    <w:rsid w:val="00452BCD"/>
    <w:rsid w:val="00453A1E"/>
    <w:rsid w:val="00454EC1"/>
    <w:rsid w:val="00456A79"/>
    <w:rsid w:val="00456B63"/>
    <w:rsid w:val="00456C9B"/>
    <w:rsid w:val="0046002C"/>
    <w:rsid w:val="00460E7F"/>
    <w:rsid w:val="0046218D"/>
    <w:rsid w:val="004628B0"/>
    <w:rsid w:val="00463FDE"/>
    <w:rsid w:val="0046457D"/>
    <w:rsid w:val="004655AB"/>
    <w:rsid w:val="004659CD"/>
    <w:rsid w:val="00467D2E"/>
    <w:rsid w:val="00470830"/>
    <w:rsid w:val="004726E9"/>
    <w:rsid w:val="00473B74"/>
    <w:rsid w:val="00476808"/>
    <w:rsid w:val="00476C91"/>
    <w:rsid w:val="0048181B"/>
    <w:rsid w:val="00483F0B"/>
    <w:rsid w:val="00484913"/>
    <w:rsid w:val="00484F28"/>
    <w:rsid w:val="00486000"/>
    <w:rsid w:val="004867E2"/>
    <w:rsid w:val="00487527"/>
    <w:rsid w:val="00492A5E"/>
    <w:rsid w:val="004956ED"/>
    <w:rsid w:val="004A5672"/>
    <w:rsid w:val="004A5F55"/>
    <w:rsid w:val="004A7BAF"/>
    <w:rsid w:val="004B02EC"/>
    <w:rsid w:val="004B2667"/>
    <w:rsid w:val="004B30C6"/>
    <w:rsid w:val="004B3BB8"/>
    <w:rsid w:val="004B5465"/>
    <w:rsid w:val="004B5724"/>
    <w:rsid w:val="004B68F5"/>
    <w:rsid w:val="004B7506"/>
    <w:rsid w:val="004C0099"/>
    <w:rsid w:val="004C0F60"/>
    <w:rsid w:val="004C1744"/>
    <w:rsid w:val="004C4242"/>
    <w:rsid w:val="004C6647"/>
    <w:rsid w:val="004C7FE0"/>
    <w:rsid w:val="004D07B2"/>
    <w:rsid w:val="004D106D"/>
    <w:rsid w:val="004D12D0"/>
    <w:rsid w:val="004D1C3B"/>
    <w:rsid w:val="004D261B"/>
    <w:rsid w:val="004D2E94"/>
    <w:rsid w:val="004D372F"/>
    <w:rsid w:val="004D403F"/>
    <w:rsid w:val="004D4757"/>
    <w:rsid w:val="004D5643"/>
    <w:rsid w:val="004D6440"/>
    <w:rsid w:val="004E022E"/>
    <w:rsid w:val="004E13BE"/>
    <w:rsid w:val="004E271E"/>
    <w:rsid w:val="004E32F0"/>
    <w:rsid w:val="004E4EE9"/>
    <w:rsid w:val="004E60C0"/>
    <w:rsid w:val="004E7715"/>
    <w:rsid w:val="004F252B"/>
    <w:rsid w:val="004F30C1"/>
    <w:rsid w:val="004F391C"/>
    <w:rsid w:val="004F3C83"/>
    <w:rsid w:val="004F4285"/>
    <w:rsid w:val="004F5098"/>
    <w:rsid w:val="004F680B"/>
    <w:rsid w:val="004F6950"/>
    <w:rsid w:val="005014A1"/>
    <w:rsid w:val="00501779"/>
    <w:rsid w:val="00501AD7"/>
    <w:rsid w:val="00502AF4"/>
    <w:rsid w:val="00504887"/>
    <w:rsid w:val="00504EC6"/>
    <w:rsid w:val="005059B4"/>
    <w:rsid w:val="00505E80"/>
    <w:rsid w:val="0050641C"/>
    <w:rsid w:val="00507B8D"/>
    <w:rsid w:val="00510633"/>
    <w:rsid w:val="00510A4D"/>
    <w:rsid w:val="00511487"/>
    <w:rsid w:val="00512A53"/>
    <w:rsid w:val="00513024"/>
    <w:rsid w:val="00514729"/>
    <w:rsid w:val="005147F6"/>
    <w:rsid w:val="005148B9"/>
    <w:rsid w:val="005150FC"/>
    <w:rsid w:val="005156EF"/>
    <w:rsid w:val="00516022"/>
    <w:rsid w:val="005166D1"/>
    <w:rsid w:val="005177B4"/>
    <w:rsid w:val="00521CEE"/>
    <w:rsid w:val="00523F8B"/>
    <w:rsid w:val="00524D65"/>
    <w:rsid w:val="00526E66"/>
    <w:rsid w:val="00526EC4"/>
    <w:rsid w:val="00530233"/>
    <w:rsid w:val="00532172"/>
    <w:rsid w:val="00532596"/>
    <w:rsid w:val="00534880"/>
    <w:rsid w:val="0053789D"/>
    <w:rsid w:val="00537DB3"/>
    <w:rsid w:val="005415F2"/>
    <w:rsid w:val="005452CC"/>
    <w:rsid w:val="005466EF"/>
    <w:rsid w:val="005469CE"/>
    <w:rsid w:val="005477C5"/>
    <w:rsid w:val="00547CB3"/>
    <w:rsid w:val="005505A1"/>
    <w:rsid w:val="005506A2"/>
    <w:rsid w:val="005530A7"/>
    <w:rsid w:val="0055425E"/>
    <w:rsid w:val="005546E2"/>
    <w:rsid w:val="00554727"/>
    <w:rsid w:val="005553AD"/>
    <w:rsid w:val="005557A8"/>
    <w:rsid w:val="00556D2C"/>
    <w:rsid w:val="0055776D"/>
    <w:rsid w:val="005624A7"/>
    <w:rsid w:val="00562ED1"/>
    <w:rsid w:val="005636F7"/>
    <w:rsid w:val="0056454C"/>
    <w:rsid w:val="005652E2"/>
    <w:rsid w:val="00573041"/>
    <w:rsid w:val="0057402A"/>
    <w:rsid w:val="005749A5"/>
    <w:rsid w:val="0057732A"/>
    <w:rsid w:val="005803BB"/>
    <w:rsid w:val="00582942"/>
    <w:rsid w:val="00584568"/>
    <w:rsid w:val="00587797"/>
    <w:rsid w:val="005903FB"/>
    <w:rsid w:val="00592BBD"/>
    <w:rsid w:val="00593255"/>
    <w:rsid w:val="005936CB"/>
    <w:rsid w:val="00593B69"/>
    <w:rsid w:val="005943F9"/>
    <w:rsid w:val="0059530B"/>
    <w:rsid w:val="0059624A"/>
    <w:rsid w:val="0059680A"/>
    <w:rsid w:val="005968D8"/>
    <w:rsid w:val="00597477"/>
    <w:rsid w:val="005A03A3"/>
    <w:rsid w:val="005A1D89"/>
    <w:rsid w:val="005A463A"/>
    <w:rsid w:val="005A6ADB"/>
    <w:rsid w:val="005A79E3"/>
    <w:rsid w:val="005B0ADD"/>
    <w:rsid w:val="005B101D"/>
    <w:rsid w:val="005B1385"/>
    <w:rsid w:val="005B36E0"/>
    <w:rsid w:val="005B4F97"/>
    <w:rsid w:val="005B6A16"/>
    <w:rsid w:val="005B77E3"/>
    <w:rsid w:val="005C164B"/>
    <w:rsid w:val="005C1A3A"/>
    <w:rsid w:val="005C22DD"/>
    <w:rsid w:val="005C3FE0"/>
    <w:rsid w:val="005C400C"/>
    <w:rsid w:val="005C4A83"/>
    <w:rsid w:val="005C7308"/>
    <w:rsid w:val="005C740C"/>
    <w:rsid w:val="005C79BA"/>
    <w:rsid w:val="005D0300"/>
    <w:rsid w:val="005D063A"/>
    <w:rsid w:val="005D1B3A"/>
    <w:rsid w:val="005D1E27"/>
    <w:rsid w:val="005D3322"/>
    <w:rsid w:val="005D6886"/>
    <w:rsid w:val="005E17A4"/>
    <w:rsid w:val="005E25D4"/>
    <w:rsid w:val="005E61D1"/>
    <w:rsid w:val="005E6236"/>
    <w:rsid w:val="005F0E31"/>
    <w:rsid w:val="005F23DB"/>
    <w:rsid w:val="005F2F08"/>
    <w:rsid w:val="005F3C85"/>
    <w:rsid w:val="005F3FB6"/>
    <w:rsid w:val="005F431D"/>
    <w:rsid w:val="005F4FE7"/>
    <w:rsid w:val="005F536E"/>
    <w:rsid w:val="005F55C9"/>
    <w:rsid w:val="00600777"/>
    <w:rsid w:val="0060167A"/>
    <w:rsid w:val="00602145"/>
    <w:rsid w:val="00603612"/>
    <w:rsid w:val="00604859"/>
    <w:rsid w:val="006048F4"/>
    <w:rsid w:val="00604F46"/>
    <w:rsid w:val="006064E1"/>
    <w:rsid w:val="0060660A"/>
    <w:rsid w:val="00610AAA"/>
    <w:rsid w:val="00611CB0"/>
    <w:rsid w:val="00612294"/>
    <w:rsid w:val="006123B1"/>
    <w:rsid w:val="006128D9"/>
    <w:rsid w:val="00612EBD"/>
    <w:rsid w:val="00613D07"/>
    <w:rsid w:val="006144B7"/>
    <w:rsid w:val="0061509D"/>
    <w:rsid w:val="006154C6"/>
    <w:rsid w:val="00615DAA"/>
    <w:rsid w:val="00617313"/>
    <w:rsid w:val="00617A44"/>
    <w:rsid w:val="00621767"/>
    <w:rsid w:val="00621EBC"/>
    <w:rsid w:val="00625CD0"/>
    <w:rsid w:val="00625EB1"/>
    <w:rsid w:val="006271BD"/>
    <w:rsid w:val="006316B8"/>
    <w:rsid w:val="00631889"/>
    <w:rsid w:val="00632896"/>
    <w:rsid w:val="006329A1"/>
    <w:rsid w:val="00633D2B"/>
    <w:rsid w:val="00634A3C"/>
    <w:rsid w:val="00635DE3"/>
    <w:rsid w:val="00636AFD"/>
    <w:rsid w:val="006375B8"/>
    <w:rsid w:val="0064118D"/>
    <w:rsid w:val="00645EC4"/>
    <w:rsid w:val="006469F6"/>
    <w:rsid w:val="00646E47"/>
    <w:rsid w:val="00647753"/>
    <w:rsid w:val="00647904"/>
    <w:rsid w:val="00651441"/>
    <w:rsid w:val="00651DC0"/>
    <w:rsid w:val="006522A0"/>
    <w:rsid w:val="0065281C"/>
    <w:rsid w:val="006565D2"/>
    <w:rsid w:val="006569DB"/>
    <w:rsid w:val="00656C96"/>
    <w:rsid w:val="00657247"/>
    <w:rsid w:val="006614C4"/>
    <w:rsid w:val="00661591"/>
    <w:rsid w:val="00662125"/>
    <w:rsid w:val="00663E9A"/>
    <w:rsid w:val="0066632F"/>
    <w:rsid w:val="006665E1"/>
    <w:rsid w:val="00667BAB"/>
    <w:rsid w:val="0067057E"/>
    <w:rsid w:val="00670DD3"/>
    <w:rsid w:val="006711DA"/>
    <w:rsid w:val="0067329B"/>
    <w:rsid w:val="00674C14"/>
    <w:rsid w:val="006778DC"/>
    <w:rsid w:val="0068182A"/>
    <w:rsid w:val="00681B2D"/>
    <w:rsid w:val="00687998"/>
    <w:rsid w:val="0069047B"/>
    <w:rsid w:val="00690DCA"/>
    <w:rsid w:val="00691046"/>
    <w:rsid w:val="00692E7B"/>
    <w:rsid w:val="0069317D"/>
    <w:rsid w:val="006956A1"/>
    <w:rsid w:val="006957B1"/>
    <w:rsid w:val="0069702B"/>
    <w:rsid w:val="006A3362"/>
    <w:rsid w:val="006A3BE1"/>
    <w:rsid w:val="006A4DB5"/>
    <w:rsid w:val="006A52D6"/>
    <w:rsid w:val="006A670C"/>
    <w:rsid w:val="006A6FA2"/>
    <w:rsid w:val="006A73B3"/>
    <w:rsid w:val="006A7898"/>
    <w:rsid w:val="006A78DD"/>
    <w:rsid w:val="006B021E"/>
    <w:rsid w:val="006B03AF"/>
    <w:rsid w:val="006B0D67"/>
    <w:rsid w:val="006B2292"/>
    <w:rsid w:val="006B329D"/>
    <w:rsid w:val="006B3A5E"/>
    <w:rsid w:val="006C114E"/>
    <w:rsid w:val="006C1EB0"/>
    <w:rsid w:val="006C2535"/>
    <w:rsid w:val="006C3A41"/>
    <w:rsid w:val="006C5413"/>
    <w:rsid w:val="006C65A1"/>
    <w:rsid w:val="006C6C62"/>
    <w:rsid w:val="006C7CA9"/>
    <w:rsid w:val="006D3256"/>
    <w:rsid w:val="006D4B0D"/>
    <w:rsid w:val="006D5DC2"/>
    <w:rsid w:val="006D60B4"/>
    <w:rsid w:val="006D75E1"/>
    <w:rsid w:val="006D7F64"/>
    <w:rsid w:val="006E263E"/>
    <w:rsid w:val="006E3546"/>
    <w:rsid w:val="006E365A"/>
    <w:rsid w:val="006E38C3"/>
    <w:rsid w:val="006E4D97"/>
    <w:rsid w:val="006E7216"/>
    <w:rsid w:val="006F0F93"/>
    <w:rsid w:val="006F17B6"/>
    <w:rsid w:val="006F35FA"/>
    <w:rsid w:val="006F3FB2"/>
    <w:rsid w:val="006F7D39"/>
    <w:rsid w:val="00701062"/>
    <w:rsid w:val="00703AEF"/>
    <w:rsid w:val="00704CCA"/>
    <w:rsid w:val="0070543F"/>
    <w:rsid w:val="00705BC0"/>
    <w:rsid w:val="00705C87"/>
    <w:rsid w:val="00707E10"/>
    <w:rsid w:val="00707EA6"/>
    <w:rsid w:val="00710978"/>
    <w:rsid w:val="00712F9E"/>
    <w:rsid w:val="00713044"/>
    <w:rsid w:val="00713F74"/>
    <w:rsid w:val="007146F0"/>
    <w:rsid w:val="00714C30"/>
    <w:rsid w:val="00715237"/>
    <w:rsid w:val="00715F39"/>
    <w:rsid w:val="00716F76"/>
    <w:rsid w:val="00720573"/>
    <w:rsid w:val="0072120E"/>
    <w:rsid w:val="00722293"/>
    <w:rsid w:val="00722F4B"/>
    <w:rsid w:val="007230FA"/>
    <w:rsid w:val="00724101"/>
    <w:rsid w:val="007250F0"/>
    <w:rsid w:val="007254A5"/>
    <w:rsid w:val="00725748"/>
    <w:rsid w:val="00730D14"/>
    <w:rsid w:val="00734374"/>
    <w:rsid w:val="00735496"/>
    <w:rsid w:val="00736D0D"/>
    <w:rsid w:val="0073720D"/>
    <w:rsid w:val="007402E0"/>
    <w:rsid w:val="007418AE"/>
    <w:rsid w:val="00742AB9"/>
    <w:rsid w:val="00743337"/>
    <w:rsid w:val="00744CEC"/>
    <w:rsid w:val="00745016"/>
    <w:rsid w:val="00746658"/>
    <w:rsid w:val="007473FB"/>
    <w:rsid w:val="00750A91"/>
    <w:rsid w:val="00751CF9"/>
    <w:rsid w:val="0075240B"/>
    <w:rsid w:val="0075261B"/>
    <w:rsid w:val="0075368B"/>
    <w:rsid w:val="00754176"/>
    <w:rsid w:val="00754666"/>
    <w:rsid w:val="00754FBF"/>
    <w:rsid w:val="00755248"/>
    <w:rsid w:val="00756754"/>
    <w:rsid w:val="00757005"/>
    <w:rsid w:val="0076016D"/>
    <w:rsid w:val="007606CE"/>
    <w:rsid w:val="00760C95"/>
    <w:rsid w:val="00763BB2"/>
    <w:rsid w:val="0077029E"/>
    <w:rsid w:val="0077048E"/>
    <w:rsid w:val="00770864"/>
    <w:rsid w:val="007724AB"/>
    <w:rsid w:val="00772734"/>
    <w:rsid w:val="00774B22"/>
    <w:rsid w:val="00775344"/>
    <w:rsid w:val="00775D8A"/>
    <w:rsid w:val="0077737C"/>
    <w:rsid w:val="007777DF"/>
    <w:rsid w:val="00781BE3"/>
    <w:rsid w:val="00781CED"/>
    <w:rsid w:val="007831C7"/>
    <w:rsid w:val="00783559"/>
    <w:rsid w:val="00783B2B"/>
    <w:rsid w:val="0078554C"/>
    <w:rsid w:val="00785F18"/>
    <w:rsid w:val="00786645"/>
    <w:rsid w:val="00786698"/>
    <w:rsid w:val="00786A42"/>
    <w:rsid w:val="0079029D"/>
    <w:rsid w:val="00792AB2"/>
    <w:rsid w:val="007A3BEE"/>
    <w:rsid w:val="007A4105"/>
    <w:rsid w:val="007A474C"/>
    <w:rsid w:val="007B0280"/>
    <w:rsid w:val="007B163C"/>
    <w:rsid w:val="007B2BC2"/>
    <w:rsid w:val="007B5263"/>
    <w:rsid w:val="007B54BC"/>
    <w:rsid w:val="007B6E9D"/>
    <w:rsid w:val="007C0CE8"/>
    <w:rsid w:val="007C406E"/>
    <w:rsid w:val="007C66A9"/>
    <w:rsid w:val="007C7F09"/>
    <w:rsid w:val="007D08AB"/>
    <w:rsid w:val="007D0AC3"/>
    <w:rsid w:val="007D25B4"/>
    <w:rsid w:val="007D2C22"/>
    <w:rsid w:val="007D5658"/>
    <w:rsid w:val="007D6565"/>
    <w:rsid w:val="007E1149"/>
    <w:rsid w:val="007E2C0D"/>
    <w:rsid w:val="007E33F7"/>
    <w:rsid w:val="007E435C"/>
    <w:rsid w:val="007E6BE6"/>
    <w:rsid w:val="007F100C"/>
    <w:rsid w:val="007F1982"/>
    <w:rsid w:val="007F428E"/>
    <w:rsid w:val="007F74ED"/>
    <w:rsid w:val="0080096E"/>
    <w:rsid w:val="008021CE"/>
    <w:rsid w:val="008031A3"/>
    <w:rsid w:val="008050E6"/>
    <w:rsid w:val="00806B95"/>
    <w:rsid w:val="00807805"/>
    <w:rsid w:val="00810CFA"/>
    <w:rsid w:val="00811392"/>
    <w:rsid w:val="00811A33"/>
    <w:rsid w:val="00812028"/>
    <w:rsid w:val="00813E85"/>
    <w:rsid w:val="00814D03"/>
    <w:rsid w:val="0081537D"/>
    <w:rsid w:val="00816074"/>
    <w:rsid w:val="00820F4D"/>
    <w:rsid w:val="0082104C"/>
    <w:rsid w:val="00824629"/>
    <w:rsid w:val="008301FC"/>
    <w:rsid w:val="0083178B"/>
    <w:rsid w:val="00832EF7"/>
    <w:rsid w:val="00833695"/>
    <w:rsid w:val="00834F99"/>
    <w:rsid w:val="008364EF"/>
    <w:rsid w:val="0083788B"/>
    <w:rsid w:val="00837C66"/>
    <w:rsid w:val="0084022E"/>
    <w:rsid w:val="008407B5"/>
    <w:rsid w:val="008409AE"/>
    <w:rsid w:val="008414DD"/>
    <w:rsid w:val="00842A21"/>
    <w:rsid w:val="00842CD8"/>
    <w:rsid w:val="008435CC"/>
    <w:rsid w:val="008517DE"/>
    <w:rsid w:val="00851BC3"/>
    <w:rsid w:val="008520D8"/>
    <w:rsid w:val="008525B2"/>
    <w:rsid w:val="008530B2"/>
    <w:rsid w:val="008553C7"/>
    <w:rsid w:val="00857770"/>
    <w:rsid w:val="00857FEB"/>
    <w:rsid w:val="00860B95"/>
    <w:rsid w:val="008616E0"/>
    <w:rsid w:val="00862050"/>
    <w:rsid w:val="008624AD"/>
    <w:rsid w:val="008624F0"/>
    <w:rsid w:val="008646B0"/>
    <w:rsid w:val="00864B45"/>
    <w:rsid w:val="008666D2"/>
    <w:rsid w:val="00871B05"/>
    <w:rsid w:val="008720EB"/>
    <w:rsid w:val="008735BA"/>
    <w:rsid w:val="00873E5C"/>
    <w:rsid w:val="008753FC"/>
    <w:rsid w:val="008777AA"/>
    <w:rsid w:val="008802A6"/>
    <w:rsid w:val="00880A18"/>
    <w:rsid w:val="008812FB"/>
    <w:rsid w:val="00882814"/>
    <w:rsid w:val="00886E09"/>
    <w:rsid w:val="00886E97"/>
    <w:rsid w:val="00891692"/>
    <w:rsid w:val="00892002"/>
    <w:rsid w:val="008934AE"/>
    <w:rsid w:val="008934E6"/>
    <w:rsid w:val="008A46A9"/>
    <w:rsid w:val="008A5A3F"/>
    <w:rsid w:val="008A646F"/>
    <w:rsid w:val="008A702B"/>
    <w:rsid w:val="008A7174"/>
    <w:rsid w:val="008B1BE5"/>
    <w:rsid w:val="008B378C"/>
    <w:rsid w:val="008B3929"/>
    <w:rsid w:val="008B3C2F"/>
    <w:rsid w:val="008B4118"/>
    <w:rsid w:val="008B4208"/>
    <w:rsid w:val="008B45D6"/>
    <w:rsid w:val="008B4CB3"/>
    <w:rsid w:val="008B54B2"/>
    <w:rsid w:val="008B720C"/>
    <w:rsid w:val="008B731A"/>
    <w:rsid w:val="008C2425"/>
    <w:rsid w:val="008C2444"/>
    <w:rsid w:val="008C3C62"/>
    <w:rsid w:val="008C3F57"/>
    <w:rsid w:val="008C46FD"/>
    <w:rsid w:val="008C5B1C"/>
    <w:rsid w:val="008C67AF"/>
    <w:rsid w:val="008C78FD"/>
    <w:rsid w:val="008D0EBE"/>
    <w:rsid w:val="008D2246"/>
    <w:rsid w:val="008D2355"/>
    <w:rsid w:val="008D2FA9"/>
    <w:rsid w:val="008D3CEA"/>
    <w:rsid w:val="008D5B01"/>
    <w:rsid w:val="008E22BC"/>
    <w:rsid w:val="008E29B4"/>
    <w:rsid w:val="008E35E2"/>
    <w:rsid w:val="008E5F59"/>
    <w:rsid w:val="008E7AC3"/>
    <w:rsid w:val="008F0C84"/>
    <w:rsid w:val="008F1B70"/>
    <w:rsid w:val="008F2143"/>
    <w:rsid w:val="008F4A8D"/>
    <w:rsid w:val="00900C34"/>
    <w:rsid w:val="00901121"/>
    <w:rsid w:val="00901DEF"/>
    <w:rsid w:val="0090263F"/>
    <w:rsid w:val="00902FF2"/>
    <w:rsid w:val="00903B67"/>
    <w:rsid w:val="0090555C"/>
    <w:rsid w:val="00905B6D"/>
    <w:rsid w:val="0090647C"/>
    <w:rsid w:val="0090651A"/>
    <w:rsid w:val="0091000A"/>
    <w:rsid w:val="00910642"/>
    <w:rsid w:val="00912FFF"/>
    <w:rsid w:val="009160BB"/>
    <w:rsid w:val="009166AD"/>
    <w:rsid w:val="00917821"/>
    <w:rsid w:val="00917BAC"/>
    <w:rsid w:val="00921A22"/>
    <w:rsid w:val="00927293"/>
    <w:rsid w:val="009311C8"/>
    <w:rsid w:val="009322F0"/>
    <w:rsid w:val="0093232D"/>
    <w:rsid w:val="00933376"/>
    <w:rsid w:val="009336FC"/>
    <w:rsid w:val="00935B82"/>
    <w:rsid w:val="00937CE6"/>
    <w:rsid w:val="00940C5F"/>
    <w:rsid w:val="00942355"/>
    <w:rsid w:val="00943F25"/>
    <w:rsid w:val="00944F01"/>
    <w:rsid w:val="00945691"/>
    <w:rsid w:val="00945CB9"/>
    <w:rsid w:val="00946D29"/>
    <w:rsid w:val="0095050D"/>
    <w:rsid w:val="009513C2"/>
    <w:rsid w:val="0095259F"/>
    <w:rsid w:val="009534EF"/>
    <w:rsid w:val="0095352B"/>
    <w:rsid w:val="00955A7F"/>
    <w:rsid w:val="0095748C"/>
    <w:rsid w:val="0096077C"/>
    <w:rsid w:val="0096143B"/>
    <w:rsid w:val="00961C28"/>
    <w:rsid w:val="00961FA7"/>
    <w:rsid w:val="009627A5"/>
    <w:rsid w:val="00962C56"/>
    <w:rsid w:val="00964BBF"/>
    <w:rsid w:val="00964F30"/>
    <w:rsid w:val="00965FD5"/>
    <w:rsid w:val="00965FFA"/>
    <w:rsid w:val="009668DE"/>
    <w:rsid w:val="00967346"/>
    <w:rsid w:val="009711D9"/>
    <w:rsid w:val="009718F9"/>
    <w:rsid w:val="00974C35"/>
    <w:rsid w:val="00974E68"/>
    <w:rsid w:val="00975112"/>
    <w:rsid w:val="00975202"/>
    <w:rsid w:val="009752DB"/>
    <w:rsid w:val="009753D7"/>
    <w:rsid w:val="00977002"/>
    <w:rsid w:val="009774C4"/>
    <w:rsid w:val="009811DF"/>
    <w:rsid w:val="00982B90"/>
    <w:rsid w:val="00982E82"/>
    <w:rsid w:val="00983333"/>
    <w:rsid w:val="00983A7C"/>
    <w:rsid w:val="00984D7B"/>
    <w:rsid w:val="00991B5F"/>
    <w:rsid w:val="00991C2E"/>
    <w:rsid w:val="00997999"/>
    <w:rsid w:val="009A0FF6"/>
    <w:rsid w:val="009A15FA"/>
    <w:rsid w:val="009A342B"/>
    <w:rsid w:val="009A3B71"/>
    <w:rsid w:val="009A3CA0"/>
    <w:rsid w:val="009A3F55"/>
    <w:rsid w:val="009A513F"/>
    <w:rsid w:val="009A542C"/>
    <w:rsid w:val="009A61BC"/>
    <w:rsid w:val="009A6527"/>
    <w:rsid w:val="009A676D"/>
    <w:rsid w:val="009A727A"/>
    <w:rsid w:val="009B1466"/>
    <w:rsid w:val="009B23D3"/>
    <w:rsid w:val="009B24B7"/>
    <w:rsid w:val="009B41E7"/>
    <w:rsid w:val="009B424D"/>
    <w:rsid w:val="009B57FB"/>
    <w:rsid w:val="009B7709"/>
    <w:rsid w:val="009C1AC6"/>
    <w:rsid w:val="009C1C75"/>
    <w:rsid w:val="009C37AE"/>
    <w:rsid w:val="009C42BC"/>
    <w:rsid w:val="009C4AAC"/>
    <w:rsid w:val="009C4F04"/>
    <w:rsid w:val="009C692B"/>
    <w:rsid w:val="009D277F"/>
    <w:rsid w:val="009D711A"/>
    <w:rsid w:val="009D7120"/>
    <w:rsid w:val="009D7DFA"/>
    <w:rsid w:val="009E042D"/>
    <w:rsid w:val="009E1B8B"/>
    <w:rsid w:val="009E2720"/>
    <w:rsid w:val="009E37E6"/>
    <w:rsid w:val="009E584D"/>
    <w:rsid w:val="009E6427"/>
    <w:rsid w:val="009E71C1"/>
    <w:rsid w:val="009F3851"/>
    <w:rsid w:val="009F3BB3"/>
    <w:rsid w:val="00A00AB9"/>
    <w:rsid w:val="00A02980"/>
    <w:rsid w:val="00A04081"/>
    <w:rsid w:val="00A043B4"/>
    <w:rsid w:val="00A04DC0"/>
    <w:rsid w:val="00A06827"/>
    <w:rsid w:val="00A07737"/>
    <w:rsid w:val="00A07D00"/>
    <w:rsid w:val="00A10614"/>
    <w:rsid w:val="00A10E98"/>
    <w:rsid w:val="00A11768"/>
    <w:rsid w:val="00A12458"/>
    <w:rsid w:val="00A13499"/>
    <w:rsid w:val="00A140D0"/>
    <w:rsid w:val="00A149C1"/>
    <w:rsid w:val="00A14A93"/>
    <w:rsid w:val="00A167EA"/>
    <w:rsid w:val="00A2172A"/>
    <w:rsid w:val="00A21A93"/>
    <w:rsid w:val="00A21B3B"/>
    <w:rsid w:val="00A2455B"/>
    <w:rsid w:val="00A245B7"/>
    <w:rsid w:val="00A25B4A"/>
    <w:rsid w:val="00A27328"/>
    <w:rsid w:val="00A277F9"/>
    <w:rsid w:val="00A30E68"/>
    <w:rsid w:val="00A313DE"/>
    <w:rsid w:val="00A31885"/>
    <w:rsid w:val="00A33763"/>
    <w:rsid w:val="00A34AA0"/>
    <w:rsid w:val="00A35B30"/>
    <w:rsid w:val="00A35BEC"/>
    <w:rsid w:val="00A373C4"/>
    <w:rsid w:val="00A37B8E"/>
    <w:rsid w:val="00A414AC"/>
    <w:rsid w:val="00A41EFC"/>
    <w:rsid w:val="00A4371E"/>
    <w:rsid w:val="00A47733"/>
    <w:rsid w:val="00A511CD"/>
    <w:rsid w:val="00A551E6"/>
    <w:rsid w:val="00A56946"/>
    <w:rsid w:val="00A578D8"/>
    <w:rsid w:val="00A61759"/>
    <w:rsid w:val="00A63889"/>
    <w:rsid w:val="00A6421B"/>
    <w:rsid w:val="00A64A23"/>
    <w:rsid w:val="00A65FF9"/>
    <w:rsid w:val="00A70E93"/>
    <w:rsid w:val="00A71A15"/>
    <w:rsid w:val="00A74DEC"/>
    <w:rsid w:val="00A76D10"/>
    <w:rsid w:val="00A76DC7"/>
    <w:rsid w:val="00A77D7A"/>
    <w:rsid w:val="00A84B60"/>
    <w:rsid w:val="00A84E68"/>
    <w:rsid w:val="00A84F62"/>
    <w:rsid w:val="00A8630D"/>
    <w:rsid w:val="00A87B6C"/>
    <w:rsid w:val="00A908F9"/>
    <w:rsid w:val="00A91B1B"/>
    <w:rsid w:val="00A9351D"/>
    <w:rsid w:val="00A94A09"/>
    <w:rsid w:val="00A967EE"/>
    <w:rsid w:val="00AA4277"/>
    <w:rsid w:val="00AA4C2B"/>
    <w:rsid w:val="00AA4D58"/>
    <w:rsid w:val="00AA5B94"/>
    <w:rsid w:val="00AA6265"/>
    <w:rsid w:val="00AB4880"/>
    <w:rsid w:val="00AB5963"/>
    <w:rsid w:val="00AB762B"/>
    <w:rsid w:val="00AB78E0"/>
    <w:rsid w:val="00AC0810"/>
    <w:rsid w:val="00AC0B3D"/>
    <w:rsid w:val="00AC1ED1"/>
    <w:rsid w:val="00AC211D"/>
    <w:rsid w:val="00AC3701"/>
    <w:rsid w:val="00AC49D8"/>
    <w:rsid w:val="00AC523C"/>
    <w:rsid w:val="00AC567F"/>
    <w:rsid w:val="00AD0CCB"/>
    <w:rsid w:val="00AD0D21"/>
    <w:rsid w:val="00AD0D77"/>
    <w:rsid w:val="00AD24CE"/>
    <w:rsid w:val="00AD279E"/>
    <w:rsid w:val="00AD2B89"/>
    <w:rsid w:val="00AD3A3C"/>
    <w:rsid w:val="00AD5C2E"/>
    <w:rsid w:val="00AE11B7"/>
    <w:rsid w:val="00AE1D85"/>
    <w:rsid w:val="00AE299D"/>
    <w:rsid w:val="00AE4E07"/>
    <w:rsid w:val="00AE5230"/>
    <w:rsid w:val="00AE5901"/>
    <w:rsid w:val="00AE77B6"/>
    <w:rsid w:val="00AF0612"/>
    <w:rsid w:val="00AF0888"/>
    <w:rsid w:val="00AF2170"/>
    <w:rsid w:val="00AF2F4F"/>
    <w:rsid w:val="00AF34E5"/>
    <w:rsid w:val="00AF36B0"/>
    <w:rsid w:val="00AF612D"/>
    <w:rsid w:val="00AF6CAF"/>
    <w:rsid w:val="00AF7691"/>
    <w:rsid w:val="00AF7F47"/>
    <w:rsid w:val="00B00A55"/>
    <w:rsid w:val="00B00F22"/>
    <w:rsid w:val="00B06444"/>
    <w:rsid w:val="00B0686B"/>
    <w:rsid w:val="00B06C4D"/>
    <w:rsid w:val="00B06CE6"/>
    <w:rsid w:val="00B06D4B"/>
    <w:rsid w:val="00B1151F"/>
    <w:rsid w:val="00B201ED"/>
    <w:rsid w:val="00B214B2"/>
    <w:rsid w:val="00B24584"/>
    <w:rsid w:val="00B24C4A"/>
    <w:rsid w:val="00B25CD9"/>
    <w:rsid w:val="00B26CCF"/>
    <w:rsid w:val="00B30004"/>
    <w:rsid w:val="00B30353"/>
    <w:rsid w:val="00B316B9"/>
    <w:rsid w:val="00B322C1"/>
    <w:rsid w:val="00B34C1E"/>
    <w:rsid w:val="00B35331"/>
    <w:rsid w:val="00B36546"/>
    <w:rsid w:val="00B424BA"/>
    <w:rsid w:val="00B432AA"/>
    <w:rsid w:val="00B464BB"/>
    <w:rsid w:val="00B51544"/>
    <w:rsid w:val="00B52E2F"/>
    <w:rsid w:val="00B531DD"/>
    <w:rsid w:val="00B54564"/>
    <w:rsid w:val="00B55390"/>
    <w:rsid w:val="00B56A07"/>
    <w:rsid w:val="00B56D45"/>
    <w:rsid w:val="00B572E8"/>
    <w:rsid w:val="00B603B4"/>
    <w:rsid w:val="00B60860"/>
    <w:rsid w:val="00B63309"/>
    <w:rsid w:val="00B645D2"/>
    <w:rsid w:val="00B67E6B"/>
    <w:rsid w:val="00B717B0"/>
    <w:rsid w:val="00B71DC2"/>
    <w:rsid w:val="00B73546"/>
    <w:rsid w:val="00B74DD5"/>
    <w:rsid w:val="00B74F88"/>
    <w:rsid w:val="00B76565"/>
    <w:rsid w:val="00B76A6E"/>
    <w:rsid w:val="00B84A83"/>
    <w:rsid w:val="00B853E2"/>
    <w:rsid w:val="00B879C7"/>
    <w:rsid w:val="00B90D3F"/>
    <w:rsid w:val="00B90DA2"/>
    <w:rsid w:val="00B92B44"/>
    <w:rsid w:val="00B93893"/>
    <w:rsid w:val="00B95E58"/>
    <w:rsid w:val="00B95FC2"/>
    <w:rsid w:val="00B97409"/>
    <w:rsid w:val="00B979F2"/>
    <w:rsid w:val="00B97DCD"/>
    <w:rsid w:val="00BA06AC"/>
    <w:rsid w:val="00BA1B1C"/>
    <w:rsid w:val="00BA2CB0"/>
    <w:rsid w:val="00BA3472"/>
    <w:rsid w:val="00BA537F"/>
    <w:rsid w:val="00BA5E9E"/>
    <w:rsid w:val="00BA6ADC"/>
    <w:rsid w:val="00BA770E"/>
    <w:rsid w:val="00BA77F1"/>
    <w:rsid w:val="00BA7A60"/>
    <w:rsid w:val="00BA7EDA"/>
    <w:rsid w:val="00BB11E1"/>
    <w:rsid w:val="00BB1594"/>
    <w:rsid w:val="00BB1670"/>
    <w:rsid w:val="00BB2BC0"/>
    <w:rsid w:val="00BB6DA1"/>
    <w:rsid w:val="00BB7ABD"/>
    <w:rsid w:val="00BB7EB7"/>
    <w:rsid w:val="00BC02E9"/>
    <w:rsid w:val="00BC0A80"/>
    <w:rsid w:val="00BC12A3"/>
    <w:rsid w:val="00BC3B53"/>
    <w:rsid w:val="00BC4A98"/>
    <w:rsid w:val="00BC4D64"/>
    <w:rsid w:val="00BC56F5"/>
    <w:rsid w:val="00BC7D8C"/>
    <w:rsid w:val="00BD0F12"/>
    <w:rsid w:val="00BD1454"/>
    <w:rsid w:val="00BD4929"/>
    <w:rsid w:val="00BD587F"/>
    <w:rsid w:val="00BD5DFC"/>
    <w:rsid w:val="00BD7AE6"/>
    <w:rsid w:val="00BE0B32"/>
    <w:rsid w:val="00BE2497"/>
    <w:rsid w:val="00BE458E"/>
    <w:rsid w:val="00BE5564"/>
    <w:rsid w:val="00BF1365"/>
    <w:rsid w:val="00BF2B59"/>
    <w:rsid w:val="00BF2C4F"/>
    <w:rsid w:val="00BF37A3"/>
    <w:rsid w:val="00BF3D01"/>
    <w:rsid w:val="00BF5B51"/>
    <w:rsid w:val="00C00B67"/>
    <w:rsid w:val="00C00F4E"/>
    <w:rsid w:val="00C01061"/>
    <w:rsid w:val="00C010DC"/>
    <w:rsid w:val="00C05318"/>
    <w:rsid w:val="00C10869"/>
    <w:rsid w:val="00C117E2"/>
    <w:rsid w:val="00C12C00"/>
    <w:rsid w:val="00C12E90"/>
    <w:rsid w:val="00C12EB9"/>
    <w:rsid w:val="00C1320B"/>
    <w:rsid w:val="00C14CC1"/>
    <w:rsid w:val="00C17C7B"/>
    <w:rsid w:val="00C206F1"/>
    <w:rsid w:val="00C25F3D"/>
    <w:rsid w:val="00C26035"/>
    <w:rsid w:val="00C26079"/>
    <w:rsid w:val="00C27206"/>
    <w:rsid w:val="00C30AC1"/>
    <w:rsid w:val="00C3189F"/>
    <w:rsid w:val="00C3256E"/>
    <w:rsid w:val="00C32F48"/>
    <w:rsid w:val="00C33340"/>
    <w:rsid w:val="00C3445F"/>
    <w:rsid w:val="00C35A91"/>
    <w:rsid w:val="00C371A6"/>
    <w:rsid w:val="00C40C60"/>
    <w:rsid w:val="00C42F03"/>
    <w:rsid w:val="00C43022"/>
    <w:rsid w:val="00C447C0"/>
    <w:rsid w:val="00C458C9"/>
    <w:rsid w:val="00C46B84"/>
    <w:rsid w:val="00C50ECF"/>
    <w:rsid w:val="00C52281"/>
    <w:rsid w:val="00C52E42"/>
    <w:rsid w:val="00C53426"/>
    <w:rsid w:val="00C54FEA"/>
    <w:rsid w:val="00C55E5A"/>
    <w:rsid w:val="00C56BE8"/>
    <w:rsid w:val="00C60E49"/>
    <w:rsid w:val="00C62A0B"/>
    <w:rsid w:val="00C63108"/>
    <w:rsid w:val="00C638E2"/>
    <w:rsid w:val="00C6537C"/>
    <w:rsid w:val="00C666E4"/>
    <w:rsid w:val="00C812F7"/>
    <w:rsid w:val="00C833B6"/>
    <w:rsid w:val="00C85838"/>
    <w:rsid w:val="00C876B7"/>
    <w:rsid w:val="00C90846"/>
    <w:rsid w:val="00C91B2C"/>
    <w:rsid w:val="00C92CA5"/>
    <w:rsid w:val="00C93B39"/>
    <w:rsid w:val="00C95961"/>
    <w:rsid w:val="00CA0A69"/>
    <w:rsid w:val="00CA0E76"/>
    <w:rsid w:val="00CA40F8"/>
    <w:rsid w:val="00CA473C"/>
    <w:rsid w:val="00CA47D3"/>
    <w:rsid w:val="00CA52E3"/>
    <w:rsid w:val="00CA53DE"/>
    <w:rsid w:val="00CA58C3"/>
    <w:rsid w:val="00CA5BC9"/>
    <w:rsid w:val="00CA6A55"/>
    <w:rsid w:val="00CA6DEF"/>
    <w:rsid w:val="00CB156F"/>
    <w:rsid w:val="00CB1BBD"/>
    <w:rsid w:val="00CB3777"/>
    <w:rsid w:val="00CB5A73"/>
    <w:rsid w:val="00CC0714"/>
    <w:rsid w:val="00CC0BB4"/>
    <w:rsid w:val="00CC1092"/>
    <w:rsid w:val="00CC12DF"/>
    <w:rsid w:val="00CC1742"/>
    <w:rsid w:val="00CC24B5"/>
    <w:rsid w:val="00CC2768"/>
    <w:rsid w:val="00CC4D8D"/>
    <w:rsid w:val="00CC63E0"/>
    <w:rsid w:val="00CC6FDD"/>
    <w:rsid w:val="00CD1689"/>
    <w:rsid w:val="00CD2492"/>
    <w:rsid w:val="00CD47BA"/>
    <w:rsid w:val="00CD5427"/>
    <w:rsid w:val="00CD604A"/>
    <w:rsid w:val="00CD6791"/>
    <w:rsid w:val="00CD7B6F"/>
    <w:rsid w:val="00CE15C4"/>
    <w:rsid w:val="00CE2E6A"/>
    <w:rsid w:val="00CE2EA9"/>
    <w:rsid w:val="00CE41DA"/>
    <w:rsid w:val="00CE6D64"/>
    <w:rsid w:val="00CE74D9"/>
    <w:rsid w:val="00CF053F"/>
    <w:rsid w:val="00CF0A55"/>
    <w:rsid w:val="00CF301C"/>
    <w:rsid w:val="00CF7C8B"/>
    <w:rsid w:val="00D00180"/>
    <w:rsid w:val="00D00793"/>
    <w:rsid w:val="00D01D15"/>
    <w:rsid w:val="00D04083"/>
    <w:rsid w:val="00D041A2"/>
    <w:rsid w:val="00D078E1"/>
    <w:rsid w:val="00D102D2"/>
    <w:rsid w:val="00D10AEF"/>
    <w:rsid w:val="00D12A7F"/>
    <w:rsid w:val="00D131D6"/>
    <w:rsid w:val="00D135BA"/>
    <w:rsid w:val="00D17A1D"/>
    <w:rsid w:val="00D20C77"/>
    <w:rsid w:val="00D218AC"/>
    <w:rsid w:val="00D221A6"/>
    <w:rsid w:val="00D224BD"/>
    <w:rsid w:val="00D232A2"/>
    <w:rsid w:val="00D23522"/>
    <w:rsid w:val="00D25C90"/>
    <w:rsid w:val="00D25F5C"/>
    <w:rsid w:val="00D26196"/>
    <w:rsid w:val="00D279AE"/>
    <w:rsid w:val="00D30900"/>
    <w:rsid w:val="00D30F08"/>
    <w:rsid w:val="00D311EA"/>
    <w:rsid w:val="00D31C61"/>
    <w:rsid w:val="00D323BE"/>
    <w:rsid w:val="00D32F98"/>
    <w:rsid w:val="00D358D8"/>
    <w:rsid w:val="00D365C5"/>
    <w:rsid w:val="00D36C95"/>
    <w:rsid w:val="00D405AB"/>
    <w:rsid w:val="00D41280"/>
    <w:rsid w:val="00D43528"/>
    <w:rsid w:val="00D45EB0"/>
    <w:rsid w:val="00D46125"/>
    <w:rsid w:val="00D52F46"/>
    <w:rsid w:val="00D5423B"/>
    <w:rsid w:val="00D54F4E"/>
    <w:rsid w:val="00D55865"/>
    <w:rsid w:val="00D56274"/>
    <w:rsid w:val="00D60BA4"/>
    <w:rsid w:val="00D61E03"/>
    <w:rsid w:val="00D62F23"/>
    <w:rsid w:val="00D6528F"/>
    <w:rsid w:val="00D67A7A"/>
    <w:rsid w:val="00D67F8F"/>
    <w:rsid w:val="00D711A5"/>
    <w:rsid w:val="00D713FF"/>
    <w:rsid w:val="00D72421"/>
    <w:rsid w:val="00D734E5"/>
    <w:rsid w:val="00D73F97"/>
    <w:rsid w:val="00D745A7"/>
    <w:rsid w:val="00D74D0A"/>
    <w:rsid w:val="00D767FA"/>
    <w:rsid w:val="00D80CCE"/>
    <w:rsid w:val="00D81D90"/>
    <w:rsid w:val="00D82202"/>
    <w:rsid w:val="00D83104"/>
    <w:rsid w:val="00D83137"/>
    <w:rsid w:val="00D85213"/>
    <w:rsid w:val="00D85A93"/>
    <w:rsid w:val="00D87E5F"/>
    <w:rsid w:val="00D87FF1"/>
    <w:rsid w:val="00D91196"/>
    <w:rsid w:val="00D92483"/>
    <w:rsid w:val="00D92633"/>
    <w:rsid w:val="00D93CE9"/>
    <w:rsid w:val="00D94DB4"/>
    <w:rsid w:val="00D951CB"/>
    <w:rsid w:val="00D9682C"/>
    <w:rsid w:val="00DA0CDA"/>
    <w:rsid w:val="00DA11ED"/>
    <w:rsid w:val="00DA2288"/>
    <w:rsid w:val="00DA243E"/>
    <w:rsid w:val="00DA25C8"/>
    <w:rsid w:val="00DA298C"/>
    <w:rsid w:val="00DA4408"/>
    <w:rsid w:val="00DB030C"/>
    <w:rsid w:val="00DB2280"/>
    <w:rsid w:val="00DB403F"/>
    <w:rsid w:val="00DB4A3A"/>
    <w:rsid w:val="00DB4FA7"/>
    <w:rsid w:val="00DB7D94"/>
    <w:rsid w:val="00DC1AA9"/>
    <w:rsid w:val="00DC2000"/>
    <w:rsid w:val="00DC287E"/>
    <w:rsid w:val="00DC6E11"/>
    <w:rsid w:val="00DD1B91"/>
    <w:rsid w:val="00DD368B"/>
    <w:rsid w:val="00DD4DFE"/>
    <w:rsid w:val="00DD6E29"/>
    <w:rsid w:val="00DE2DA8"/>
    <w:rsid w:val="00DE343C"/>
    <w:rsid w:val="00DE575C"/>
    <w:rsid w:val="00DE578A"/>
    <w:rsid w:val="00DE5D8B"/>
    <w:rsid w:val="00DE6AC5"/>
    <w:rsid w:val="00DE6E7E"/>
    <w:rsid w:val="00DE7DDA"/>
    <w:rsid w:val="00DF1D1E"/>
    <w:rsid w:val="00DF2583"/>
    <w:rsid w:val="00DF54D9"/>
    <w:rsid w:val="00DF6973"/>
    <w:rsid w:val="00DF79E9"/>
    <w:rsid w:val="00E00687"/>
    <w:rsid w:val="00E008CB"/>
    <w:rsid w:val="00E021C8"/>
    <w:rsid w:val="00E03D32"/>
    <w:rsid w:val="00E03E8B"/>
    <w:rsid w:val="00E04465"/>
    <w:rsid w:val="00E04E34"/>
    <w:rsid w:val="00E05FDB"/>
    <w:rsid w:val="00E10991"/>
    <w:rsid w:val="00E10DC6"/>
    <w:rsid w:val="00E11F8E"/>
    <w:rsid w:val="00E12B7F"/>
    <w:rsid w:val="00E138AA"/>
    <w:rsid w:val="00E145EA"/>
    <w:rsid w:val="00E17944"/>
    <w:rsid w:val="00E17BC5"/>
    <w:rsid w:val="00E20572"/>
    <w:rsid w:val="00E20A86"/>
    <w:rsid w:val="00E22722"/>
    <w:rsid w:val="00E2347F"/>
    <w:rsid w:val="00E23775"/>
    <w:rsid w:val="00E268B1"/>
    <w:rsid w:val="00E276B2"/>
    <w:rsid w:val="00E33FD4"/>
    <w:rsid w:val="00E34BA3"/>
    <w:rsid w:val="00E34ED6"/>
    <w:rsid w:val="00E3596E"/>
    <w:rsid w:val="00E364EF"/>
    <w:rsid w:val="00E4094E"/>
    <w:rsid w:val="00E426A4"/>
    <w:rsid w:val="00E42D22"/>
    <w:rsid w:val="00E4573C"/>
    <w:rsid w:val="00E458E2"/>
    <w:rsid w:val="00E45F37"/>
    <w:rsid w:val="00E466F2"/>
    <w:rsid w:val="00E50A17"/>
    <w:rsid w:val="00E50BD4"/>
    <w:rsid w:val="00E51959"/>
    <w:rsid w:val="00E54E05"/>
    <w:rsid w:val="00E55D0B"/>
    <w:rsid w:val="00E56173"/>
    <w:rsid w:val="00E56899"/>
    <w:rsid w:val="00E56ADD"/>
    <w:rsid w:val="00E575BA"/>
    <w:rsid w:val="00E5788D"/>
    <w:rsid w:val="00E57CC8"/>
    <w:rsid w:val="00E62286"/>
    <w:rsid w:val="00E634B6"/>
    <w:rsid w:val="00E634E3"/>
    <w:rsid w:val="00E645B1"/>
    <w:rsid w:val="00E6586E"/>
    <w:rsid w:val="00E659A6"/>
    <w:rsid w:val="00E724F5"/>
    <w:rsid w:val="00E75C19"/>
    <w:rsid w:val="00E75D2C"/>
    <w:rsid w:val="00E80F31"/>
    <w:rsid w:val="00E82965"/>
    <w:rsid w:val="00E85102"/>
    <w:rsid w:val="00E8592D"/>
    <w:rsid w:val="00E86633"/>
    <w:rsid w:val="00E876A6"/>
    <w:rsid w:val="00E9497F"/>
    <w:rsid w:val="00E96D0E"/>
    <w:rsid w:val="00EA0AA8"/>
    <w:rsid w:val="00EA14C5"/>
    <w:rsid w:val="00EA1765"/>
    <w:rsid w:val="00EA26EF"/>
    <w:rsid w:val="00EA3241"/>
    <w:rsid w:val="00EA3B5F"/>
    <w:rsid w:val="00EA5786"/>
    <w:rsid w:val="00EA615D"/>
    <w:rsid w:val="00EA75C1"/>
    <w:rsid w:val="00EA7B10"/>
    <w:rsid w:val="00EB141A"/>
    <w:rsid w:val="00EB2DEB"/>
    <w:rsid w:val="00EB2F26"/>
    <w:rsid w:val="00EB40BD"/>
    <w:rsid w:val="00EB6D1A"/>
    <w:rsid w:val="00EB7038"/>
    <w:rsid w:val="00EB7550"/>
    <w:rsid w:val="00EB7C2E"/>
    <w:rsid w:val="00EC0F04"/>
    <w:rsid w:val="00EC1309"/>
    <w:rsid w:val="00EC237D"/>
    <w:rsid w:val="00EC3951"/>
    <w:rsid w:val="00EC5F70"/>
    <w:rsid w:val="00EC6AAB"/>
    <w:rsid w:val="00EC6F2A"/>
    <w:rsid w:val="00ED179F"/>
    <w:rsid w:val="00ED2F32"/>
    <w:rsid w:val="00ED4248"/>
    <w:rsid w:val="00ED60CA"/>
    <w:rsid w:val="00ED64EF"/>
    <w:rsid w:val="00ED6CDA"/>
    <w:rsid w:val="00EE0CAE"/>
    <w:rsid w:val="00EE0EC3"/>
    <w:rsid w:val="00EE1819"/>
    <w:rsid w:val="00EE1A75"/>
    <w:rsid w:val="00EE1B9E"/>
    <w:rsid w:val="00EE1DC0"/>
    <w:rsid w:val="00EE4A1F"/>
    <w:rsid w:val="00EE52EA"/>
    <w:rsid w:val="00EE53EA"/>
    <w:rsid w:val="00EF009A"/>
    <w:rsid w:val="00EF0D0D"/>
    <w:rsid w:val="00EF0ED5"/>
    <w:rsid w:val="00EF1B5A"/>
    <w:rsid w:val="00EF2CCA"/>
    <w:rsid w:val="00EF61AC"/>
    <w:rsid w:val="00EF791D"/>
    <w:rsid w:val="00F01325"/>
    <w:rsid w:val="00F0172C"/>
    <w:rsid w:val="00F017B1"/>
    <w:rsid w:val="00F01BA1"/>
    <w:rsid w:val="00F03E1B"/>
    <w:rsid w:val="00F04D64"/>
    <w:rsid w:val="00F057E0"/>
    <w:rsid w:val="00F10ADF"/>
    <w:rsid w:val="00F13F47"/>
    <w:rsid w:val="00F16EBD"/>
    <w:rsid w:val="00F214D5"/>
    <w:rsid w:val="00F229EF"/>
    <w:rsid w:val="00F22C62"/>
    <w:rsid w:val="00F24A31"/>
    <w:rsid w:val="00F24E4E"/>
    <w:rsid w:val="00F25B7F"/>
    <w:rsid w:val="00F26059"/>
    <w:rsid w:val="00F2608D"/>
    <w:rsid w:val="00F313B0"/>
    <w:rsid w:val="00F323B9"/>
    <w:rsid w:val="00F33E73"/>
    <w:rsid w:val="00F33ECA"/>
    <w:rsid w:val="00F343DA"/>
    <w:rsid w:val="00F359F8"/>
    <w:rsid w:val="00F3652C"/>
    <w:rsid w:val="00F366F4"/>
    <w:rsid w:val="00F36803"/>
    <w:rsid w:val="00F376A8"/>
    <w:rsid w:val="00F43D1A"/>
    <w:rsid w:val="00F43E8A"/>
    <w:rsid w:val="00F45528"/>
    <w:rsid w:val="00F46AA1"/>
    <w:rsid w:val="00F47235"/>
    <w:rsid w:val="00F47A9A"/>
    <w:rsid w:val="00F50554"/>
    <w:rsid w:val="00F51771"/>
    <w:rsid w:val="00F53F91"/>
    <w:rsid w:val="00F56255"/>
    <w:rsid w:val="00F57321"/>
    <w:rsid w:val="00F57CD4"/>
    <w:rsid w:val="00F613E9"/>
    <w:rsid w:val="00F6168C"/>
    <w:rsid w:val="00F61A72"/>
    <w:rsid w:val="00F62D1F"/>
    <w:rsid w:val="00F6371E"/>
    <w:rsid w:val="00F63E0E"/>
    <w:rsid w:val="00F6424A"/>
    <w:rsid w:val="00F6441D"/>
    <w:rsid w:val="00F65951"/>
    <w:rsid w:val="00F65DE4"/>
    <w:rsid w:val="00F66F13"/>
    <w:rsid w:val="00F74073"/>
    <w:rsid w:val="00F74AC4"/>
    <w:rsid w:val="00F74D7D"/>
    <w:rsid w:val="00F7614E"/>
    <w:rsid w:val="00F77453"/>
    <w:rsid w:val="00F80F82"/>
    <w:rsid w:val="00F81A04"/>
    <w:rsid w:val="00F84116"/>
    <w:rsid w:val="00F8524E"/>
    <w:rsid w:val="00F8778E"/>
    <w:rsid w:val="00F87D67"/>
    <w:rsid w:val="00F87D80"/>
    <w:rsid w:val="00F90E04"/>
    <w:rsid w:val="00F9189A"/>
    <w:rsid w:val="00F928C5"/>
    <w:rsid w:val="00F94F68"/>
    <w:rsid w:val="00F970A1"/>
    <w:rsid w:val="00FA1759"/>
    <w:rsid w:val="00FA277B"/>
    <w:rsid w:val="00FB06ED"/>
    <w:rsid w:val="00FB4D0B"/>
    <w:rsid w:val="00FB76DB"/>
    <w:rsid w:val="00FC084D"/>
    <w:rsid w:val="00FC36AB"/>
    <w:rsid w:val="00FC3F21"/>
    <w:rsid w:val="00FC5A5F"/>
    <w:rsid w:val="00FC6AB4"/>
    <w:rsid w:val="00FC6EC6"/>
    <w:rsid w:val="00FD09E3"/>
    <w:rsid w:val="00FD1727"/>
    <w:rsid w:val="00FD1D6B"/>
    <w:rsid w:val="00FD2798"/>
    <w:rsid w:val="00FD2A72"/>
    <w:rsid w:val="00FD4127"/>
    <w:rsid w:val="00FD5819"/>
    <w:rsid w:val="00FE0399"/>
    <w:rsid w:val="00FE15EB"/>
    <w:rsid w:val="00FE4F08"/>
    <w:rsid w:val="00FE5C0A"/>
    <w:rsid w:val="00FE5D0E"/>
    <w:rsid w:val="00FE64E4"/>
    <w:rsid w:val="00FF0D35"/>
    <w:rsid w:val="00FF0DF2"/>
    <w:rsid w:val="00FF3A5A"/>
    <w:rsid w:val="00FF5128"/>
    <w:rsid w:val="00FF6EDD"/>
    <w:rsid w:val="00FF78D0"/>
    <w:rsid w:val="79A502E7"/>
    <w:rsid w:val="7E1BADD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fill="f" fillcolor="white" stroke="f">
      <v:fill color="white" on="f"/>
      <v:stroke on="f"/>
    </o:shapedefaults>
    <o:shapelayout v:ext="edit">
      <o:idmap v:ext="edit" data="1"/>
    </o:shapelayout>
  </w:shapeDefaults>
  <w:decimalSymbol w:val=","/>
  <w:listSeparator w:val=";"/>
  <w14:docId w14:val="75FDA417"/>
  <w15:docId w15:val="{785BAB7F-984F-4829-BC7E-6D006C6F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lang w:val="nl-NL" w:eastAsia="nl-NL"/>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uiPriority w:val="99"/>
    <w:semiHidden/>
    <w:rsid w:val="00646E47"/>
    <w:pPr>
      <w:tabs>
        <w:tab w:val="left" w:pos="600"/>
      </w:tabs>
      <w:spacing w:line="180" w:lineRule="atLeast"/>
      <w:ind w:left="240" w:hanging="240"/>
    </w:pPr>
    <w:rPr>
      <w:sz w:val="13"/>
      <w:szCs w:val="20"/>
    </w:rPr>
  </w:style>
  <w:style w:type="character" w:styleId="FootnoteReference">
    <w:name w:val="footnote reference"/>
    <w:uiPriority w:val="99"/>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uiPriority w:val="99"/>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lang w:val="nl-NL" w:eastAsia="nl-NL"/>
    </w:rPr>
  </w:style>
  <w:style w:type="paragraph" w:customStyle="1" w:styleId="Default">
    <w:name w:val="Default"/>
    <w:rsid w:val="00974C35"/>
    <w:pPr>
      <w:autoSpaceDE w:val="0"/>
      <w:autoSpaceDN w:val="0"/>
      <w:adjustRightInd w:val="0"/>
    </w:pPr>
    <w:rPr>
      <w:rFonts w:eastAsia="Calibri"/>
      <w:color w:val="000000"/>
      <w:sz w:val="24"/>
      <w:szCs w:val="24"/>
      <w:lang w:val="en-GB" w:eastAsia="en-US"/>
    </w:rPr>
  </w:style>
  <w:style w:type="paragraph" w:customStyle="1" w:styleId="BodyText1">
    <w:name w:val="Body Text1"/>
    <w:link w:val="BodytextChar"/>
    <w:qFormat/>
    <w:rsid w:val="005147F6"/>
    <w:pPr>
      <w:spacing w:after="120"/>
      <w:jc w:val="both"/>
    </w:pPr>
    <w:rPr>
      <w:rFonts w:ascii="Arial" w:hAnsi="Arial"/>
      <w:szCs w:val="24"/>
      <w:lang w:val="en-GB" w:eastAsia="en-US"/>
    </w:rPr>
  </w:style>
  <w:style w:type="character" w:customStyle="1" w:styleId="BodytextChar">
    <w:name w:val="Body text Char"/>
    <w:link w:val="BodyText1"/>
    <w:locked/>
    <w:rsid w:val="005147F6"/>
    <w:rPr>
      <w:rFonts w:ascii="Arial" w:hAnsi="Arial"/>
      <w:szCs w:val="24"/>
      <w:lang w:val="en-GB" w:eastAsia="en-US"/>
    </w:rPr>
  </w:style>
  <w:style w:type="character" w:styleId="FollowedHyperlink">
    <w:name w:val="FollowedHyperlink"/>
    <w:rsid w:val="009F3BB3"/>
    <w:rPr>
      <w:color w:val="954F72"/>
      <w:u w:val="single"/>
    </w:rPr>
  </w:style>
  <w:style w:type="paragraph" w:styleId="ListParagraph">
    <w:name w:val="List Paragraph"/>
    <w:basedOn w:val="Normal"/>
    <w:uiPriority w:val="34"/>
    <w:qFormat/>
    <w:rsid w:val="008C3C62"/>
    <w:pPr>
      <w:ind w:left="720"/>
      <w:contextualSpacing/>
    </w:pPr>
  </w:style>
  <w:style w:type="paragraph" w:styleId="NoSpacing">
    <w:name w:val="No Spacing"/>
    <w:uiPriority w:val="1"/>
    <w:qFormat/>
    <w:rsid w:val="00912FFF"/>
    <w:rPr>
      <w:rFonts w:ascii="Verdana" w:hAnsi="Verdana"/>
      <w:sz w:val="18"/>
      <w:szCs w:val="24"/>
      <w:lang w:val="nl-NL" w:eastAsia="nl-NL"/>
    </w:rPr>
  </w:style>
  <w:style w:type="character" w:customStyle="1" w:styleId="FooterChar">
    <w:name w:val="Footer Char"/>
    <w:basedOn w:val="DefaultParagraphFont"/>
    <w:link w:val="Footer"/>
    <w:uiPriority w:val="99"/>
    <w:rsid w:val="00B432AA"/>
    <w:rPr>
      <w:rFonts w:ascii="Verdana" w:hAnsi="Verdana"/>
      <w:sz w:val="18"/>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84409">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748707">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945389292">
      <w:bodyDiv w:val="1"/>
      <w:marLeft w:val="0"/>
      <w:marRight w:val="0"/>
      <w:marTop w:val="0"/>
      <w:marBottom w:val="0"/>
      <w:divBdr>
        <w:top w:val="none" w:sz="0" w:space="0" w:color="auto"/>
        <w:left w:val="none" w:sz="0" w:space="0" w:color="auto"/>
        <w:bottom w:val="none" w:sz="0" w:space="0" w:color="auto"/>
        <w:right w:val="none" w:sz="0" w:space="0" w:color="auto"/>
      </w:divBdr>
    </w:div>
    <w:div w:id="1081101176">
      <w:bodyDiv w:val="1"/>
      <w:marLeft w:val="0"/>
      <w:marRight w:val="0"/>
      <w:marTop w:val="0"/>
      <w:marBottom w:val="0"/>
      <w:divBdr>
        <w:top w:val="none" w:sz="0" w:space="0" w:color="auto"/>
        <w:left w:val="none" w:sz="0" w:space="0" w:color="auto"/>
        <w:bottom w:val="none" w:sz="0" w:space="0" w:color="auto"/>
        <w:right w:val="none" w:sz="0" w:space="0" w:color="auto"/>
      </w:divBdr>
    </w:div>
    <w:div w:id="1666130202">
      <w:bodyDiv w:val="1"/>
      <w:marLeft w:val="0"/>
      <w:marRight w:val="0"/>
      <w:marTop w:val="0"/>
      <w:marBottom w:val="0"/>
      <w:divBdr>
        <w:top w:val="none" w:sz="0" w:space="0" w:color="auto"/>
        <w:left w:val="none" w:sz="0" w:space="0" w:color="auto"/>
        <w:bottom w:val="none" w:sz="0" w:space="0" w:color="auto"/>
        <w:right w:val="none" w:sz="0" w:space="0" w:color="auto"/>
      </w:divBdr>
    </w:div>
    <w:div w:id="1742478863">
      <w:bodyDiv w:val="1"/>
      <w:marLeft w:val="0"/>
      <w:marRight w:val="0"/>
      <w:marTop w:val="0"/>
      <w:marBottom w:val="0"/>
      <w:divBdr>
        <w:top w:val="none" w:sz="0" w:space="0" w:color="auto"/>
        <w:left w:val="none" w:sz="0" w:space="0" w:color="auto"/>
        <w:bottom w:val="none" w:sz="0" w:space="0" w:color="auto"/>
        <w:right w:val="none" w:sz="0" w:space="0" w:color="auto"/>
      </w:divBdr>
    </w:div>
    <w:div w:id="1810632672">
      <w:bodyDiv w:val="1"/>
      <w:marLeft w:val="0"/>
      <w:marRight w:val="0"/>
      <w:marTop w:val="0"/>
      <w:marBottom w:val="0"/>
      <w:divBdr>
        <w:top w:val="none" w:sz="0" w:space="0" w:color="auto"/>
        <w:left w:val="none" w:sz="0" w:space="0" w:color="auto"/>
        <w:bottom w:val="none" w:sz="0" w:space="0" w:color="auto"/>
        <w:right w:val="none" w:sz="0" w:space="0" w:color="auto"/>
      </w:divBdr>
    </w:div>
    <w:div w:id="1848864448">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 w:id="2102411148">
      <w:bodyDiv w:val="1"/>
      <w:marLeft w:val="0"/>
      <w:marRight w:val="0"/>
      <w:marTop w:val="0"/>
      <w:marBottom w:val="0"/>
      <w:divBdr>
        <w:top w:val="none" w:sz="0" w:space="0" w:color="auto"/>
        <w:left w:val="none" w:sz="0" w:space="0" w:color="auto"/>
        <w:bottom w:val="none" w:sz="0" w:space="0" w:color="auto"/>
        <w:right w:val="none" w:sz="0" w:space="0" w:color="auto"/>
      </w:divBdr>
    </w:div>
    <w:div w:id="212607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tracen.org/about/managemen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C2DF6-40D1-4423-8226-7E163B4C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9BBD2F-8D5A-41E5-8377-98EA30B0D90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4.xml><?xml version="1.0" encoding="utf-8"?>
<ds:datastoreItem xmlns:ds="http://schemas.openxmlformats.org/officeDocument/2006/customXml" ds:itemID="{54E8A005-C7F7-4AD7-B405-91E67B57D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A2AFCCC3</Template>
  <TotalTime>33</TotalTime>
  <Pages>17</Pages>
  <Words>5040</Words>
  <Characters>27725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Algemene Aanwijzingen</vt:lpstr>
    </vt:vector>
  </TitlesOfParts>
  <Company>Ministerie van Buitenlandse Zaken</Company>
  <LinksUpToDate>false</LinksUpToDate>
  <CharactersWithSpaces>32700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Han Huiskamp</dc:creator>
  <cp:lastModifiedBy>Hengelaar, Dieke</cp:lastModifiedBy>
  <cp:revision>11</cp:revision>
  <cp:lastPrinted>2017-05-10T12:08:00Z</cp:lastPrinted>
  <dcterms:created xsi:type="dcterms:W3CDTF">2017-08-11T15:49:00Z</dcterms:created>
  <dcterms:modified xsi:type="dcterms:W3CDTF">2017-09-21T13:47:00Z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